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lang w:eastAsia="zh-CN"/>
        </w:rPr>
        <w:t>（停车位）</w:t>
      </w:r>
      <w:r>
        <w:rPr>
          <w:rFonts w:hint="eastAsia" w:ascii="方正小标宋简体" w:hAnsi="宋体" w:eastAsia="方正小标宋简体" w:cs="宋体"/>
          <w:kern w:val="0"/>
          <w:sz w:val="36"/>
          <w:szCs w:val="36"/>
        </w:rPr>
        <w:t>租赁合同</w:t>
      </w:r>
    </w:p>
    <w:p>
      <w:pPr>
        <w:widowControl/>
        <w:spacing w:line="360" w:lineRule="auto"/>
        <w:jc w:val="center"/>
        <w:rPr>
          <w:rFonts w:ascii="方正小标宋简体" w:hAnsi="宋体" w:eastAsia="方正小标宋简体" w:cs="宋体"/>
          <w:kern w:val="0"/>
          <w:sz w:val="13"/>
          <w:szCs w:val="13"/>
        </w:rPr>
      </w:pPr>
    </w:p>
    <w:p>
      <w:pPr>
        <w:widowControl/>
        <w:adjustRightInd w:val="0"/>
        <w:snapToGrid w:val="0"/>
        <w:spacing w:line="590" w:lineRule="exact"/>
        <w:contextualSpacing/>
        <w:jc w:val="left"/>
        <w:rPr>
          <w:rFonts w:ascii="仿宋_GB2312" w:hAnsi="宋体" w:cs="宋体"/>
          <w:color w:val="auto"/>
          <w:kern w:val="0"/>
          <w:szCs w:val="32"/>
          <w:highlight w:val="none"/>
          <w:u w:val="single"/>
        </w:rPr>
      </w:pPr>
      <w:r>
        <w:rPr>
          <w:rFonts w:hint="eastAsia" w:ascii="仿宋_GB2312" w:hAnsi="宋体" w:cs="宋体"/>
          <w:color w:val="auto"/>
          <w:kern w:val="0"/>
          <w:szCs w:val="32"/>
          <w:highlight w:val="none"/>
        </w:rPr>
        <w:t>租赁物地址：位于</w:t>
      </w:r>
      <w:r>
        <w:rPr>
          <w:rFonts w:hint="eastAsia" w:ascii="仿宋_GB2312" w:hAnsi="宋体" w:cs="宋体"/>
          <w:color w:val="auto"/>
          <w:kern w:val="0"/>
          <w:szCs w:val="32"/>
          <w:highlight w:val="none"/>
          <w:u w:val="single"/>
        </w:rPr>
        <w:t xml:space="preserve">                           </w:t>
      </w:r>
    </w:p>
    <w:p>
      <w:pPr>
        <w:widowControl/>
        <w:adjustRightInd w:val="0"/>
        <w:snapToGrid w:val="0"/>
        <w:spacing w:line="590" w:lineRule="exact"/>
        <w:contextualSpacing/>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出租方：</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 xml:space="preserve">(以下简称甲方)                           </w:t>
      </w:r>
    </w:p>
    <w:p>
      <w:pPr>
        <w:widowControl/>
        <w:adjustRightInd w:val="0"/>
        <w:snapToGrid w:val="0"/>
        <w:spacing w:line="590" w:lineRule="exact"/>
        <w:contextualSpacing/>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承租方：</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(以下简称乙方)</w:t>
      </w:r>
    </w:p>
    <w:p>
      <w:pPr>
        <w:widowControl/>
        <w:adjustRightInd w:val="0"/>
        <w:snapToGrid w:val="0"/>
        <w:spacing w:line="590" w:lineRule="exact"/>
        <w:ind w:firstLine="640" w:firstLineChars="200"/>
        <w:contextualSpacing/>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企业法人需要提供企业营业执照复印件、企业征信、银行开户信息和法定代表人身份证复印件；若是个体工商户需提供营业执照复印件、个人征信和负责人身份证复印件。</w:t>
      </w:r>
    </w:p>
    <w:p>
      <w:pPr>
        <w:widowControl/>
        <w:adjustRightInd w:val="0"/>
        <w:snapToGrid w:val="0"/>
        <w:spacing w:line="590" w:lineRule="exact"/>
        <w:ind w:firstLine="640" w:firstLineChars="200"/>
        <w:contextualSpacing/>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根据《中华人民共和国民法典》、《宁波市江北区人民政府关于进一步加强江北区国有房产管理工作的意见》、《关于印发&lt;江北区国有企业房产出租管理暂行办法&gt;的通知》及相关法律法规规定，为明确甲乙双方权利义务关系，经双方协商一致，签订本合同。</w:t>
      </w:r>
    </w:p>
    <w:p>
      <w:pPr>
        <w:widowControl/>
        <w:numPr>
          <w:ilvl w:val="0"/>
          <w:numId w:val="1"/>
        </w:numPr>
        <w:adjustRightInd w:val="0"/>
        <w:snapToGrid w:val="0"/>
        <w:spacing w:line="590" w:lineRule="exact"/>
        <w:ind w:left="0"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 xml:space="preserve">  标的物基本情况</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标的物位于</w:t>
      </w:r>
      <w:r>
        <w:rPr>
          <w:rFonts w:hint="eastAsia" w:ascii="仿宋_GB2312" w:hAnsi="宋体" w:cs="宋体"/>
          <w:color w:val="auto"/>
          <w:kern w:val="0"/>
          <w:szCs w:val="32"/>
          <w:highlight w:val="none"/>
          <w:u w:val="single"/>
        </w:rPr>
        <w:t xml:space="preserve">                 </w:t>
      </w:r>
      <w:r>
        <w:rPr>
          <w:rFonts w:hint="eastAsia" w:ascii="仿宋_GB2312" w:hAnsi="宋体" w:cs="宋体"/>
          <w:color w:val="auto"/>
          <w:spacing w:val="-20"/>
          <w:kern w:val="0"/>
          <w:szCs w:val="32"/>
          <w:highlight w:val="none"/>
        </w:rPr>
        <w:t>（以下简称“停车场”）内，</w:t>
      </w:r>
      <w:r>
        <w:rPr>
          <w:rFonts w:hint="eastAsia" w:ascii="仿宋_GB2312" w:hAnsi="宋体" w:cs="宋体"/>
          <w:color w:val="auto"/>
          <w:kern w:val="0"/>
          <w:szCs w:val="32"/>
          <w:highlight w:val="none"/>
        </w:rPr>
        <w:t>建筑物租赁面积为</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u w:val="single"/>
          <w:lang w:val="en-US" w:eastAsia="zh-CN"/>
        </w:rPr>
        <w:t>/</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平方米，土地面积为</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平方米，产权证号</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u w:val="single"/>
          <w:lang w:val="en-US" w:eastAsia="zh-CN"/>
        </w:rPr>
        <w:t>/</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。租赁标的物为停车场的</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号停车位，共计2</w:t>
      </w:r>
      <w:r>
        <w:rPr>
          <w:rFonts w:ascii="仿宋_GB2312" w:hAnsi="宋体" w:cs="宋体"/>
          <w:color w:val="auto"/>
          <w:kern w:val="0"/>
          <w:szCs w:val="32"/>
          <w:highlight w:val="none"/>
        </w:rPr>
        <w:t>4</w:t>
      </w:r>
      <w:r>
        <w:rPr>
          <w:rFonts w:hint="eastAsia" w:ascii="仿宋_GB2312" w:hAnsi="宋体" w:cs="宋体"/>
          <w:color w:val="auto"/>
          <w:kern w:val="0"/>
          <w:szCs w:val="32"/>
          <w:highlight w:val="none"/>
        </w:rPr>
        <w:t>个（详见附件停车场平面图），用途</w:t>
      </w:r>
      <w:r>
        <w:rPr>
          <w:rFonts w:hint="eastAsia" w:ascii="仿宋_GB2312" w:hAnsi="宋体" w:cs="宋体"/>
          <w:color w:val="auto"/>
          <w:kern w:val="0"/>
          <w:szCs w:val="32"/>
          <w:highlight w:val="none"/>
          <w:lang w:eastAsia="zh-CN"/>
        </w:rPr>
        <w:t>仅用于</w:t>
      </w:r>
      <w:r>
        <w:rPr>
          <w:rFonts w:hint="eastAsia" w:ascii="仿宋_GB2312" w:hAnsi="宋体" w:cs="宋体"/>
          <w:color w:val="auto"/>
          <w:kern w:val="0"/>
          <w:szCs w:val="32"/>
          <w:highlight w:val="none"/>
          <w:u w:val="single"/>
        </w:rPr>
        <w:t xml:space="preserve">充电停车位 </w:t>
      </w:r>
      <w:r>
        <w:rPr>
          <w:rFonts w:hint="eastAsia" w:ascii="仿宋_GB2312" w:hAnsi="宋体" w:cs="宋体"/>
          <w:color w:val="auto"/>
          <w:kern w:val="0"/>
          <w:szCs w:val="32"/>
          <w:highlight w:val="none"/>
        </w:rPr>
        <w:t>。</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第二条  租赁用途与租赁方式</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2-1、乙方向甲方承诺，租赁该标的物作为</w:t>
      </w:r>
      <w:r>
        <w:rPr>
          <w:rFonts w:hint="eastAsia" w:ascii="仿宋_GB2312" w:hAnsi="宋体" w:cs="宋体"/>
          <w:color w:val="auto"/>
          <w:kern w:val="0"/>
          <w:szCs w:val="32"/>
          <w:highlight w:val="none"/>
          <w:u w:val="single"/>
        </w:rPr>
        <w:t>充电停车位</w:t>
      </w:r>
      <w:r>
        <w:rPr>
          <w:rFonts w:hint="eastAsia" w:ascii="仿宋_GB2312" w:hAnsi="宋体" w:cs="宋体"/>
          <w:color w:val="auto"/>
          <w:kern w:val="0"/>
          <w:szCs w:val="32"/>
          <w:highlight w:val="none"/>
        </w:rPr>
        <w:t>使用，并遵守国家和本区有关房屋使用和物业管理规定。</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2-2、乙方保证，在租赁期内未征得甲方书面同意以及按规定须经有关部门审核而未核准前，不得擅自改变上述约定的使用用途。</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2-</w:t>
      </w:r>
      <w:r>
        <w:rPr>
          <w:rFonts w:ascii="仿宋_GB2312" w:hAnsi="宋体" w:cs="宋体"/>
          <w:color w:val="auto"/>
          <w:kern w:val="0"/>
          <w:szCs w:val="32"/>
          <w:highlight w:val="none"/>
        </w:rPr>
        <w:t>3</w:t>
      </w:r>
      <w:r>
        <w:rPr>
          <w:rFonts w:hint="eastAsia" w:ascii="仿宋_GB2312" w:hAnsi="宋体" w:cs="宋体"/>
          <w:color w:val="auto"/>
          <w:kern w:val="0"/>
          <w:szCs w:val="32"/>
          <w:highlight w:val="none"/>
        </w:rPr>
        <w:t>、乙方应当在所租赁的2</w:t>
      </w:r>
      <w:r>
        <w:rPr>
          <w:rFonts w:ascii="仿宋_GB2312" w:hAnsi="宋体" w:cs="宋体"/>
          <w:color w:val="auto"/>
          <w:kern w:val="0"/>
          <w:szCs w:val="32"/>
          <w:highlight w:val="none"/>
        </w:rPr>
        <w:t>4</w:t>
      </w:r>
      <w:r>
        <w:rPr>
          <w:rFonts w:hint="eastAsia" w:ascii="仿宋_GB2312" w:hAnsi="宋体" w:cs="宋体"/>
          <w:color w:val="auto"/>
          <w:kern w:val="0"/>
          <w:szCs w:val="32"/>
          <w:highlight w:val="none"/>
        </w:rPr>
        <w:t>个停车位上均安装新能源充电桩，采用直流充电设备（TZDHL250），并安装1250K∨A箱变1台，另可根据需要安装其他符合国家标准的设备设施，使上述停车位均具备为新能源车（包括纯电动和混合动力汽车）充电的功能。</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2-</w:t>
      </w:r>
      <w:r>
        <w:rPr>
          <w:rFonts w:ascii="仿宋_GB2312" w:hAnsi="宋体" w:cs="宋体"/>
          <w:color w:val="auto"/>
          <w:kern w:val="0"/>
          <w:szCs w:val="32"/>
          <w:highlight w:val="none"/>
        </w:rPr>
        <w:t>4</w:t>
      </w:r>
      <w:r>
        <w:rPr>
          <w:rFonts w:hint="eastAsia" w:ascii="仿宋_GB2312" w:hAnsi="宋体" w:cs="宋体"/>
          <w:color w:val="auto"/>
          <w:kern w:val="0"/>
          <w:szCs w:val="32"/>
          <w:highlight w:val="none"/>
        </w:rPr>
        <w:t>、2</w:t>
      </w:r>
      <w:r>
        <w:rPr>
          <w:rFonts w:ascii="仿宋_GB2312" w:hAnsi="宋体" w:cs="宋体"/>
          <w:color w:val="auto"/>
          <w:kern w:val="0"/>
          <w:szCs w:val="32"/>
          <w:highlight w:val="none"/>
        </w:rPr>
        <w:t>4</w:t>
      </w:r>
      <w:r>
        <w:rPr>
          <w:rFonts w:hint="eastAsia" w:ascii="仿宋_GB2312" w:hAnsi="宋体" w:cs="宋体"/>
          <w:color w:val="auto"/>
          <w:kern w:val="0"/>
          <w:szCs w:val="32"/>
          <w:highlight w:val="none"/>
        </w:rPr>
        <w:t>个充电停车位由乙方独立经营新能源车充电业务。乙方自行接入合法合规的充电平台，收取充电费用。因乙方经营充电业务产生的任何收益、损失或发生的任何纠纷，与甲方无涉。</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2-</w:t>
      </w:r>
      <w:r>
        <w:rPr>
          <w:rFonts w:ascii="仿宋_GB2312" w:hAnsi="宋体" w:cs="宋体"/>
          <w:color w:val="auto"/>
          <w:kern w:val="0"/>
          <w:szCs w:val="32"/>
          <w:highlight w:val="none"/>
        </w:rPr>
        <w:t>5</w:t>
      </w:r>
      <w:r>
        <w:rPr>
          <w:rFonts w:hint="eastAsia" w:ascii="仿宋_GB2312" w:hAnsi="宋体" w:cs="宋体"/>
          <w:color w:val="auto"/>
          <w:kern w:val="0"/>
          <w:szCs w:val="32"/>
          <w:highlight w:val="none"/>
        </w:rPr>
        <w:t>、车辆驶离乙方承租的充电停车位后，甲方按照停车场收费标准收取停车费。乙方应根据甲方要求，将停车场收费事宜在充电平台等渠道告知充电用户。</w:t>
      </w:r>
    </w:p>
    <w:p>
      <w:pPr>
        <w:widowControl/>
        <w:adjustRightInd w:val="0"/>
        <w:snapToGrid w:val="0"/>
        <w:spacing w:line="590" w:lineRule="exact"/>
        <w:ind w:firstLine="640" w:firstLineChars="200"/>
        <w:jc w:val="left"/>
        <w:rPr>
          <w:rFonts w:hint="eastAsia" w:ascii="仿宋_GB2312" w:hAnsi="宋体" w:cs="宋体"/>
          <w:color w:val="auto"/>
          <w:kern w:val="0"/>
          <w:szCs w:val="32"/>
          <w:highlight w:val="none"/>
        </w:rPr>
      </w:pPr>
      <w:r>
        <w:rPr>
          <w:rFonts w:hint="eastAsia" w:ascii="仿宋_GB2312" w:hAnsi="宋体" w:cs="宋体"/>
          <w:color w:val="auto"/>
          <w:kern w:val="0"/>
          <w:szCs w:val="32"/>
          <w:highlight w:val="none"/>
        </w:rPr>
        <w:t>2-</w:t>
      </w:r>
      <w:r>
        <w:rPr>
          <w:rFonts w:ascii="仿宋_GB2312" w:hAnsi="宋体" w:cs="宋体"/>
          <w:color w:val="auto"/>
          <w:kern w:val="0"/>
          <w:szCs w:val="32"/>
          <w:highlight w:val="none"/>
        </w:rPr>
        <w:t>6</w:t>
      </w:r>
      <w:r>
        <w:rPr>
          <w:rFonts w:hint="eastAsia" w:ascii="仿宋_GB2312" w:hAnsi="宋体" w:cs="宋体"/>
          <w:color w:val="auto"/>
          <w:kern w:val="0"/>
          <w:szCs w:val="32"/>
          <w:highlight w:val="none"/>
        </w:rPr>
        <w:t>、为便于甲方收取停车费，乙方应将充电用户的实时充电数据上传给甲方。</w:t>
      </w:r>
    </w:p>
    <w:p>
      <w:pPr>
        <w:widowControl/>
        <w:adjustRightInd w:val="0"/>
        <w:snapToGrid w:val="0"/>
        <w:spacing w:line="590" w:lineRule="exact"/>
        <w:ind w:firstLine="640" w:firstLineChars="200"/>
        <w:jc w:val="left"/>
        <w:rPr>
          <w:rFonts w:hint="eastAsia" w:ascii="仿宋_GB2312" w:hAnsi="宋体" w:cs="宋体"/>
          <w:color w:val="auto"/>
          <w:kern w:val="0"/>
          <w:szCs w:val="32"/>
          <w:highlight w:val="none"/>
          <w:lang w:val="en-US" w:eastAsia="zh-CN"/>
        </w:rPr>
      </w:pPr>
      <w:r>
        <w:rPr>
          <w:rFonts w:hint="eastAsia" w:ascii="仿宋_GB2312" w:hAnsi="宋体" w:cs="宋体"/>
          <w:color w:val="auto"/>
          <w:kern w:val="0"/>
          <w:szCs w:val="32"/>
          <w:highlight w:val="none"/>
          <w:lang w:val="en-US" w:eastAsia="zh-CN"/>
        </w:rPr>
        <w:t>2-7、停车场收费按照物价局出具的相关规定执行。</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第三条  交付日期和租赁期限</w:t>
      </w:r>
    </w:p>
    <w:p>
      <w:pPr>
        <w:adjustRightInd w:val="0"/>
        <w:snapToGrid w:val="0"/>
        <w:spacing w:line="580" w:lineRule="exact"/>
        <w:ind w:firstLine="640" w:firstLineChars="200"/>
        <w:jc w:val="left"/>
        <w:rPr>
          <w:rFonts w:ascii="仿宋_GB2312" w:hAnsi="宋体" w:cs="宋体"/>
          <w:color w:val="auto"/>
          <w:kern w:val="0"/>
          <w:szCs w:val="32"/>
          <w:highlight w:val="none"/>
          <w:u w:val="single"/>
        </w:rPr>
      </w:pPr>
      <w:r>
        <w:rPr>
          <w:rFonts w:hint="eastAsia" w:ascii="仿宋_GB2312" w:hAnsi="宋体" w:cs="宋体"/>
          <w:color w:val="auto"/>
          <w:kern w:val="0"/>
          <w:szCs w:val="32"/>
          <w:highlight w:val="none"/>
        </w:rPr>
        <w:t>3-1、甲、乙双方约定，租赁期限共</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年</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个月，自</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年</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月</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日至</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年</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月</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日止，其中，半个月（</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年</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月</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日至</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年</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月</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日）为免租金装修期。</w:t>
      </w:r>
      <w:r>
        <w:rPr>
          <w:rFonts w:hint="eastAsia" w:ascii="仿宋_GB2312" w:hAnsi="宋体" w:cs="宋体"/>
          <w:color w:val="auto"/>
          <w:kern w:val="0"/>
          <w:szCs w:val="32"/>
          <w:highlight w:val="none"/>
          <w:lang w:eastAsia="zh-CN"/>
        </w:rPr>
        <w:t>（停车场租赁权拍卖完成后</w:t>
      </w:r>
      <w:r>
        <w:rPr>
          <w:rFonts w:hint="eastAsia" w:ascii="仿宋_GB2312" w:hAnsi="宋体" w:cs="宋体"/>
          <w:color w:val="auto"/>
          <w:kern w:val="0"/>
          <w:szCs w:val="32"/>
          <w:highlight w:val="none"/>
          <w:lang w:val="en-US" w:eastAsia="zh-CN"/>
        </w:rPr>
        <w:t>1个月内签订租赁合同</w:t>
      </w:r>
      <w:r>
        <w:rPr>
          <w:rFonts w:hint="eastAsia" w:ascii="仿宋_GB2312" w:hAnsi="宋体" w:cs="宋体"/>
          <w:color w:val="auto"/>
          <w:kern w:val="0"/>
          <w:szCs w:val="32"/>
          <w:highlight w:val="none"/>
          <w:lang w:eastAsia="zh-CN"/>
        </w:rPr>
        <w:t>，并交付押金。项目建成后办理正式移交手续，</w:t>
      </w:r>
      <w:r>
        <w:rPr>
          <w:rFonts w:hint="eastAsia" w:ascii="仿宋_GB2312" w:hAnsi="宋体" w:cs="宋体"/>
          <w:color w:val="auto"/>
          <w:kern w:val="0"/>
          <w:szCs w:val="32"/>
          <w:highlight w:val="none"/>
          <w:lang w:val="en-US" w:eastAsia="zh-CN"/>
        </w:rPr>
        <w:t>移交手续完成后计算起租日即交付日期，附移交手续</w:t>
      </w:r>
      <w:r>
        <w:rPr>
          <w:rFonts w:hint="eastAsia" w:ascii="仿宋_GB2312" w:hAnsi="宋体" w:cs="宋体"/>
          <w:color w:val="auto"/>
          <w:kern w:val="0"/>
          <w:szCs w:val="32"/>
          <w:highlight w:val="none"/>
          <w:lang w:eastAsia="zh-CN"/>
        </w:rPr>
        <w:t>）。</w:t>
      </w:r>
      <w:r>
        <w:rPr>
          <w:rFonts w:hint="eastAsia" w:ascii="仿宋_GB2312" w:hAnsi="宋体" w:cs="宋体"/>
          <w:color w:val="auto"/>
          <w:kern w:val="0"/>
          <w:szCs w:val="32"/>
          <w:highlight w:val="none"/>
        </w:rPr>
        <w:t>租赁期限内，双方签署年度租赁合同，一年一签，即租赁期内，每年度租赁时间届满前（年度租赁合同时间届满不视为本合同租赁期限届满），双方必须提前1个月，按照本合同约定签署次年年度租赁合同。</w:t>
      </w:r>
    </w:p>
    <w:p>
      <w:pPr>
        <w:adjustRightInd w:val="0"/>
        <w:snapToGrid w:val="0"/>
        <w:spacing w:line="590" w:lineRule="exact"/>
        <w:ind w:firstLine="640" w:firstLineChars="200"/>
        <w:jc w:val="left"/>
        <w:rPr>
          <w:rFonts w:ascii="仿宋_GB2312" w:hAnsi="宋体" w:cs="宋体"/>
          <w:color w:val="auto"/>
          <w:kern w:val="0"/>
          <w:szCs w:val="32"/>
          <w:highlight w:val="none"/>
          <w:u w:val="single"/>
        </w:rPr>
      </w:pPr>
      <w:r>
        <w:rPr>
          <w:rFonts w:hint="eastAsia" w:ascii="仿宋_GB2312" w:hAnsi="宋体" w:cs="宋体"/>
          <w:color w:val="auto"/>
          <w:kern w:val="0"/>
          <w:szCs w:val="32"/>
          <w:highlight w:val="none"/>
        </w:rPr>
        <w:t>3-2、首年度租赁起止时间为</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年</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月</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日至</w:t>
      </w:r>
      <w:r>
        <w:rPr>
          <w:rFonts w:hint="eastAsia" w:ascii="仿宋_GB2312" w:hAnsi="宋体" w:cs="宋体"/>
          <w:color w:val="auto"/>
          <w:kern w:val="0"/>
          <w:szCs w:val="32"/>
          <w:highlight w:val="none"/>
          <w:u w:val="single"/>
        </w:rPr>
        <w:t xml:space="preserve">      </w:t>
      </w:r>
    </w:p>
    <w:p>
      <w:pPr>
        <w:adjustRightInd w:val="0"/>
        <w:snapToGrid w:val="0"/>
        <w:spacing w:line="590" w:lineRule="exact"/>
        <w:jc w:val="left"/>
        <w:rPr>
          <w:rFonts w:ascii="仿宋_GB2312" w:hAnsi="宋体" w:cs="宋体"/>
          <w:color w:val="auto"/>
          <w:kern w:val="0"/>
          <w:szCs w:val="32"/>
          <w:highlight w:val="none"/>
          <w:u w:val="single"/>
        </w:rPr>
      </w:pP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年</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月</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日止，其中，半个月（</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年</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 xml:space="preserve"> </w:t>
      </w:r>
      <w:r>
        <w:rPr>
          <w:rFonts w:hint="eastAsia" w:ascii="仿宋_GB2312" w:hAnsi="宋体" w:cs="宋体"/>
          <w:color w:val="auto"/>
          <w:kern w:val="0"/>
          <w:szCs w:val="32"/>
          <w:highlight w:val="none"/>
          <w:u w:val="single"/>
        </w:rPr>
        <w:t xml:space="preserve">    </w:t>
      </w:r>
    </w:p>
    <w:p>
      <w:pPr>
        <w:adjustRightInd w:val="0"/>
        <w:snapToGrid w:val="0"/>
        <w:spacing w:line="590" w:lineRule="exact"/>
        <w:jc w:val="left"/>
        <w:rPr>
          <w:rFonts w:ascii="仿宋_GB2312" w:hAnsi="宋体" w:cs="宋体"/>
          <w:color w:val="auto"/>
          <w:kern w:val="0"/>
          <w:szCs w:val="32"/>
          <w:highlight w:val="none"/>
          <w:u w:val="single"/>
        </w:rPr>
      </w:pP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月</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日至</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年</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月</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日）为免租金装修期。</w:t>
      </w:r>
    </w:p>
    <w:p>
      <w:pPr>
        <w:adjustRightInd w:val="0"/>
        <w:snapToGrid w:val="0"/>
        <w:spacing w:line="590" w:lineRule="exact"/>
        <w:ind w:firstLine="63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本合同的签署视为首年度租赁合同的签署。</w:t>
      </w:r>
    </w:p>
    <w:p>
      <w:pPr>
        <w:adjustRightInd w:val="0"/>
        <w:snapToGrid w:val="0"/>
        <w:spacing w:line="590" w:lineRule="exact"/>
        <w:ind w:firstLine="63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3-3、乙方未按第3-1条续签年度租赁合同的，构成擅自退租，按第10-3条处理。</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第四条  租金、支付方式和期限</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4-1、甲、乙双方约定，该标的物年租金为人民币</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元（大写）：</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w:t>
      </w:r>
    </w:p>
    <w:p>
      <w:pPr>
        <w:adjustRightInd w:val="0"/>
        <w:snapToGrid w:val="0"/>
        <w:spacing w:line="590" w:lineRule="exact"/>
        <w:ind w:right="-198" w:rightChars="-62" w:firstLine="640" w:firstLineChars="200"/>
        <w:jc w:val="left"/>
        <w:rPr>
          <w:rFonts w:ascii="仿宋_GB2312"/>
          <w:color w:val="auto"/>
          <w:szCs w:val="21"/>
          <w:highlight w:val="none"/>
        </w:rPr>
      </w:pPr>
      <w:r>
        <w:rPr>
          <w:rFonts w:hint="eastAsia" w:ascii="仿宋_GB2312" w:hAnsi="宋体" w:cs="宋体"/>
          <w:color w:val="auto"/>
          <w:kern w:val="0"/>
          <w:szCs w:val="32"/>
          <w:highlight w:val="none"/>
        </w:rPr>
        <w:t>4-2、租金按</w:t>
      </w:r>
      <w:r>
        <w:rPr>
          <w:rFonts w:hint="eastAsia" w:ascii="仿宋_GB2312" w:hAnsi="宋体" w:cs="宋体"/>
          <w:color w:val="auto"/>
          <w:kern w:val="0"/>
          <w:szCs w:val="32"/>
          <w:highlight w:val="none"/>
          <w:u w:val="single"/>
        </w:rPr>
        <w:t xml:space="preserve">  年  </w:t>
      </w:r>
      <w:r>
        <w:rPr>
          <w:rFonts w:hint="eastAsia" w:ascii="仿宋_GB2312" w:hAnsi="宋体" w:cs="宋体"/>
          <w:color w:val="auto"/>
          <w:kern w:val="0"/>
          <w:szCs w:val="32"/>
          <w:highlight w:val="none"/>
        </w:rPr>
        <w:t>结算，先付后租，</w:t>
      </w:r>
      <w:r>
        <w:rPr>
          <w:rFonts w:hint="eastAsia" w:ascii="仿宋_GB2312" w:hAnsi="宋体"/>
          <w:color w:val="auto"/>
          <w:szCs w:val="21"/>
          <w:highlight w:val="none"/>
        </w:rPr>
        <w:t>双方约定，租金不增幅。第一年的租金，应在租赁合同生效后</w:t>
      </w:r>
      <w:r>
        <w:rPr>
          <w:rFonts w:hint="eastAsia" w:ascii="仿宋_GB2312" w:hAnsi="宋体"/>
          <w:color w:val="auto"/>
          <w:szCs w:val="21"/>
          <w:highlight w:val="none"/>
          <w:u w:val="single"/>
        </w:rPr>
        <w:t xml:space="preserve">  7  </w:t>
      </w:r>
      <w:r>
        <w:rPr>
          <w:rFonts w:hint="eastAsia" w:ascii="仿宋_GB2312" w:hAnsi="宋体"/>
          <w:color w:val="auto"/>
          <w:szCs w:val="21"/>
          <w:highlight w:val="none"/>
        </w:rPr>
        <w:t>日内支付，以后每年度租金在下一年度租赁开始前一个月付清。</w:t>
      </w:r>
    </w:p>
    <w:p>
      <w:pPr>
        <w:widowControl/>
        <w:adjustRightInd w:val="0"/>
        <w:snapToGrid w:val="0"/>
        <w:spacing w:line="590" w:lineRule="exact"/>
        <w:ind w:firstLine="640" w:firstLineChars="200"/>
        <w:jc w:val="left"/>
        <w:rPr>
          <w:rFonts w:hint="eastAsia" w:ascii="仿宋_GB2312" w:hAnsi="宋体" w:cs="宋体"/>
          <w:bCs/>
          <w:color w:val="auto"/>
          <w:kern w:val="0"/>
          <w:szCs w:val="21"/>
          <w:highlight w:val="none"/>
        </w:rPr>
      </w:pPr>
      <w:r>
        <w:rPr>
          <w:rFonts w:hint="eastAsia" w:ascii="仿宋_GB2312" w:hAnsi="宋体" w:cs="宋体"/>
          <w:color w:val="auto"/>
          <w:kern w:val="0"/>
          <w:szCs w:val="32"/>
          <w:highlight w:val="none"/>
        </w:rPr>
        <w:t>4-3、乙方必须将租金按时缴入甲方指定账户，</w:t>
      </w:r>
      <w:r>
        <w:rPr>
          <w:rFonts w:hint="eastAsia" w:ascii="仿宋_GB2312" w:hAnsi="宋体" w:cs="宋体"/>
          <w:bCs/>
          <w:color w:val="auto"/>
          <w:kern w:val="0"/>
          <w:szCs w:val="21"/>
          <w:highlight w:val="none"/>
        </w:rPr>
        <w:t>不得迟延支付。</w:t>
      </w:r>
    </w:p>
    <w:p>
      <w:pPr>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第五条 押金和其他费用</w:t>
      </w:r>
    </w:p>
    <w:p>
      <w:pPr>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5-1、甲、乙双方约定，乙方在本合同生效的同时，向甲方交纳押金</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元（大写）：</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w:t>
      </w:r>
    </w:p>
    <w:p>
      <w:pPr>
        <w:adjustRightInd w:val="0"/>
        <w:snapToGrid w:val="0"/>
        <w:spacing w:line="590" w:lineRule="exact"/>
        <w:ind w:firstLine="640" w:firstLineChars="200"/>
        <w:jc w:val="left"/>
        <w:rPr>
          <w:rFonts w:hint="default" w:ascii="仿宋_GB2312" w:hAnsi="宋体" w:eastAsia="仿宋_GB2312" w:cs="宋体"/>
          <w:color w:val="auto"/>
          <w:kern w:val="0"/>
          <w:szCs w:val="32"/>
          <w:highlight w:val="none"/>
          <w:lang w:val="en-US" w:eastAsia="zh-CN"/>
        </w:rPr>
      </w:pPr>
      <w:r>
        <w:rPr>
          <w:rFonts w:hint="eastAsia" w:ascii="仿宋_GB2312" w:hAnsi="宋体" w:cs="宋体"/>
          <w:color w:val="auto"/>
          <w:kern w:val="0"/>
          <w:szCs w:val="32"/>
          <w:highlight w:val="none"/>
        </w:rPr>
        <w:t>5-2、甲方收取押金后，应向乙方开具收款凭证。</w:t>
      </w:r>
    </w:p>
    <w:p>
      <w:pPr>
        <w:widowControl/>
        <w:adjustRightInd w:val="0"/>
        <w:snapToGrid w:val="0"/>
        <w:spacing w:line="590" w:lineRule="exact"/>
        <w:ind w:firstLine="640" w:firstLineChars="200"/>
        <w:jc w:val="left"/>
        <w:rPr>
          <w:rFonts w:hint="eastAsia" w:ascii="仿宋_GB2312" w:hAnsi="宋体" w:cs="宋体"/>
          <w:color w:val="auto"/>
          <w:kern w:val="0"/>
          <w:szCs w:val="32"/>
          <w:highlight w:val="none"/>
        </w:rPr>
      </w:pPr>
      <w:r>
        <w:rPr>
          <w:rFonts w:hint="eastAsia" w:ascii="仿宋_GB2312" w:hAnsi="宋体" w:cs="宋体"/>
          <w:color w:val="auto"/>
          <w:kern w:val="0"/>
          <w:szCs w:val="32"/>
          <w:highlight w:val="none"/>
        </w:rPr>
        <w:t>5-3、租赁关系终止时，甲方收取的租赁押金除用以抵充本合同中由乙方承担的费用外，</w:t>
      </w:r>
      <w:r>
        <w:rPr>
          <w:rFonts w:hint="eastAsia" w:ascii="仿宋_GB2312" w:hAnsi="宋体"/>
          <w:color w:val="auto"/>
          <w:szCs w:val="21"/>
          <w:highlight w:val="none"/>
        </w:rPr>
        <w:t>待标的物</w:t>
      </w:r>
      <w:r>
        <w:rPr>
          <w:rFonts w:hint="eastAsia" w:ascii="仿宋_GB2312" w:hAnsi="宋体"/>
          <w:color w:val="auto"/>
          <w:kern w:val="24"/>
          <w:szCs w:val="21"/>
          <w:highlight w:val="none"/>
        </w:rPr>
        <w:t>验收合格交还后、扣除乙方应结清的所有费用后，</w:t>
      </w:r>
      <w:r>
        <w:rPr>
          <w:rFonts w:hint="eastAsia" w:ascii="仿宋_GB2312" w:hAnsi="宋体" w:cs="宋体"/>
          <w:color w:val="auto"/>
          <w:kern w:val="0"/>
          <w:szCs w:val="32"/>
          <w:highlight w:val="none"/>
        </w:rPr>
        <w:t>剩余部分在</w:t>
      </w:r>
      <w:r>
        <w:rPr>
          <w:rFonts w:hint="eastAsia" w:ascii="仿宋_GB2312" w:hAnsi="宋体"/>
          <w:color w:val="auto"/>
          <w:kern w:val="24"/>
          <w:szCs w:val="21"/>
          <w:highlight w:val="none"/>
          <w:u w:val="single"/>
        </w:rPr>
        <w:t>7</w:t>
      </w:r>
      <w:r>
        <w:rPr>
          <w:rFonts w:hint="eastAsia" w:ascii="仿宋_GB2312" w:hAnsi="宋体"/>
          <w:color w:val="auto"/>
          <w:kern w:val="24"/>
          <w:szCs w:val="21"/>
          <w:highlight w:val="none"/>
        </w:rPr>
        <w:t>日内</w:t>
      </w:r>
      <w:r>
        <w:rPr>
          <w:rFonts w:hint="eastAsia" w:ascii="仿宋_GB2312" w:hAnsi="宋体" w:cs="宋体"/>
          <w:color w:val="auto"/>
          <w:kern w:val="0"/>
          <w:szCs w:val="32"/>
          <w:highlight w:val="none"/>
        </w:rPr>
        <w:t>无息归还乙方。</w:t>
      </w:r>
    </w:p>
    <w:p>
      <w:pPr>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olor w:val="auto"/>
          <w:kern w:val="24"/>
          <w:szCs w:val="21"/>
          <w:highlight w:val="none"/>
        </w:rPr>
        <w:t>乙方应按照本合同约定履行各项义务，否则，甲方可从合同履约押金中优先扣除乙方未结清的各项费用、应承担的各项赔偿、以及应承担的违约金等。</w:t>
      </w:r>
    </w:p>
    <w:p>
      <w:pPr>
        <w:widowControl/>
        <w:adjustRightInd w:val="0"/>
        <w:snapToGrid w:val="0"/>
        <w:spacing w:line="590" w:lineRule="exact"/>
        <w:ind w:firstLine="640" w:firstLineChars="200"/>
        <w:jc w:val="left"/>
        <w:rPr>
          <w:rFonts w:hint="eastAsia" w:ascii="仿宋_GB2312" w:hAnsi="宋体" w:cs="宋体"/>
          <w:color w:val="auto"/>
          <w:kern w:val="0"/>
          <w:szCs w:val="32"/>
          <w:highlight w:val="none"/>
        </w:rPr>
      </w:pPr>
      <w:r>
        <w:rPr>
          <w:rFonts w:hint="eastAsia" w:ascii="仿宋_GB2312" w:hAnsi="宋体" w:cs="宋体"/>
          <w:color w:val="auto"/>
          <w:kern w:val="0"/>
          <w:szCs w:val="32"/>
          <w:highlight w:val="none"/>
        </w:rPr>
        <w:t>5-4、租赁期间，使用该标的物所发生的水、电、煤气、通讯设备、物业管理等开通及相关费用由乙方承担。</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bCs/>
          <w:color w:val="auto"/>
          <w:kern w:val="0"/>
          <w:szCs w:val="21"/>
          <w:highlight w:val="none"/>
          <w:lang w:val="en-US" w:eastAsia="zh-CN"/>
        </w:rPr>
        <w:t>5-5、正式移交后3个月内完成项目验收，若项目验收不符合租赁公告要求的条件，甲方将要求乙方立即退场，乙方押</w:t>
      </w:r>
      <w:r>
        <w:rPr>
          <w:rFonts w:hint="eastAsia" w:ascii="仿宋_GB2312" w:hAnsi="宋体" w:cs="宋体"/>
          <w:color w:val="auto"/>
          <w:kern w:val="0"/>
          <w:szCs w:val="32"/>
          <w:highlight w:val="none"/>
        </w:rPr>
        <w:t>金不予退还</w:t>
      </w:r>
      <w:r>
        <w:rPr>
          <w:rFonts w:hint="eastAsia" w:ascii="仿宋_GB2312" w:hAnsi="宋体" w:cs="宋体"/>
          <w:color w:val="auto"/>
          <w:kern w:val="0"/>
          <w:szCs w:val="32"/>
          <w:highlight w:val="none"/>
          <w:lang w:eastAsia="zh-CN"/>
        </w:rPr>
        <w:t>。</w:t>
      </w:r>
    </w:p>
    <w:p>
      <w:pPr>
        <w:spacing w:line="590" w:lineRule="exact"/>
        <w:ind w:left="2873" w:leftChars="200" w:hanging="2233" w:hangingChars="695"/>
        <w:rPr>
          <w:rFonts w:ascii="仿宋_GB2312"/>
          <w:b/>
          <w:color w:val="auto"/>
          <w:szCs w:val="21"/>
          <w:highlight w:val="none"/>
          <w:u w:val="single"/>
        </w:rPr>
      </w:pPr>
      <w:r>
        <w:rPr>
          <w:rFonts w:hint="eastAsia" w:ascii="仿宋_GB2312"/>
          <w:b/>
          <w:color w:val="auto"/>
          <w:szCs w:val="21"/>
          <w:highlight w:val="none"/>
        </w:rPr>
        <w:t>甲方账户名称：</w:t>
      </w:r>
      <w:r>
        <w:rPr>
          <w:rFonts w:hint="eastAsia" w:ascii="仿宋_GB2312"/>
          <w:bCs/>
          <w:color w:val="auto"/>
          <w:szCs w:val="21"/>
          <w:highlight w:val="none"/>
          <w:u w:val="single"/>
        </w:rPr>
        <w:t xml:space="preserve">                                   </w:t>
      </w:r>
      <w:r>
        <w:rPr>
          <w:rFonts w:ascii="仿宋_GB2312"/>
          <w:b/>
          <w:color w:val="auto"/>
          <w:szCs w:val="21"/>
          <w:highlight w:val="none"/>
          <w:u w:val="single"/>
        </w:rPr>
        <w:t xml:space="preserve"> </w:t>
      </w:r>
    </w:p>
    <w:p>
      <w:pPr>
        <w:spacing w:line="590" w:lineRule="exact"/>
        <w:ind w:firstLine="643" w:firstLineChars="200"/>
        <w:rPr>
          <w:rFonts w:ascii="仿宋_GB2312"/>
          <w:b/>
          <w:color w:val="auto"/>
          <w:szCs w:val="21"/>
          <w:highlight w:val="none"/>
        </w:rPr>
      </w:pPr>
      <w:r>
        <w:rPr>
          <w:rFonts w:hint="eastAsia" w:ascii="仿宋_GB2312"/>
          <w:b/>
          <w:color w:val="auto"/>
          <w:szCs w:val="21"/>
          <w:highlight w:val="none"/>
        </w:rPr>
        <w:t>账        号：</w:t>
      </w:r>
      <w:r>
        <w:rPr>
          <w:rFonts w:hint="eastAsia" w:ascii="仿宋_GB2312"/>
          <w:bCs/>
          <w:color w:val="auto"/>
          <w:szCs w:val="21"/>
          <w:highlight w:val="none"/>
          <w:u w:val="single"/>
        </w:rPr>
        <w:t xml:space="preserve">                                    </w:t>
      </w:r>
    </w:p>
    <w:p>
      <w:pPr>
        <w:adjustRightInd w:val="0"/>
        <w:snapToGrid w:val="0"/>
        <w:spacing w:line="590" w:lineRule="exact"/>
        <w:ind w:firstLine="643" w:firstLineChars="200"/>
        <w:jc w:val="left"/>
        <w:rPr>
          <w:rFonts w:ascii="仿宋_GB2312"/>
          <w:b/>
          <w:color w:val="auto"/>
          <w:szCs w:val="21"/>
          <w:highlight w:val="none"/>
        </w:rPr>
      </w:pPr>
      <w:r>
        <w:rPr>
          <w:rFonts w:hint="eastAsia" w:ascii="仿宋_GB2312"/>
          <w:b/>
          <w:color w:val="auto"/>
          <w:szCs w:val="21"/>
          <w:highlight w:val="none"/>
        </w:rPr>
        <w:t>开   户   行：</w:t>
      </w:r>
      <w:r>
        <w:rPr>
          <w:rFonts w:hint="eastAsia" w:ascii="仿宋_GB2312"/>
          <w:bCs/>
          <w:color w:val="auto"/>
          <w:szCs w:val="21"/>
          <w:highlight w:val="none"/>
          <w:u w:val="single"/>
        </w:rPr>
        <w:t xml:space="preserve">                                    </w:t>
      </w:r>
      <w:r>
        <w:rPr>
          <w:rFonts w:ascii="仿宋_GB2312"/>
          <w:b/>
          <w:color w:val="auto"/>
          <w:szCs w:val="21"/>
          <w:highlight w:val="none"/>
        </w:rPr>
        <w:t xml:space="preserve"> </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第六条  甲方责任</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6-1、实行本合同约定的租金标准。</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6-2、乙方在签署本合同时已经确认过标的物，同意按照现状进行接收。本合同签署视为对标的物的接收。交接后因乙方装修、装饰等产生的问题，甲方不负有修缮的义务。</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6-3、标的物租赁期内，因国家政策、国家建设需要拆除或改造已租赁的标的物，本合同终止，乙方应在甲方通知期限内，腾空标的物交给甲方，甲方不承担违约责任及赔偿责任，不负责另行解决乙方的租赁问题、不负责赔偿乙方接收标的物后投入的装修、装饰等费用，若发生实际装修所有人或利益相关方等第三方（以下简称第三方）主张装修、装饰等费用问题，由乙方解决，与甲方无涉。</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因拆迁或改造等获得的政府补助、补偿、赔偿款所有权益均归属于甲方所有。但是，如乙方经甲方同意所做的装修和改造等投入，拆迁时仍有残值的，由乙方根据甲方要求提供对应部分的相关凭证（如实际装修发票或合同或支付凭证）（按照时间顺序以最后一次装修和改造为准）、关于装修所有权的说明等相关证明资料等，可由乙方领取对应的补偿款。若乙方在甲方通知的期限内无法提供装修发票及其相关证明资料或补偿款对应部分没有相关证明材料的，则该部分补偿款归甲方所有。乙方应对提供的相关资料的真实性负责，若资料有虚假情况，则视为乙方违约，应当按照本合同第10-2条的约定承担违约责任。</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6-4、甲方应于租期届满前</w:t>
      </w:r>
      <w:r>
        <w:rPr>
          <w:rFonts w:hint="eastAsia" w:ascii="仿宋_GB2312" w:hAnsi="宋体" w:cs="宋体"/>
          <w:color w:val="auto"/>
          <w:kern w:val="0"/>
          <w:szCs w:val="32"/>
          <w:highlight w:val="none"/>
          <w:u w:val="single"/>
        </w:rPr>
        <w:t>4</w:t>
      </w:r>
      <w:r>
        <w:rPr>
          <w:rFonts w:hint="eastAsia" w:ascii="仿宋_GB2312" w:hAnsi="宋体" w:cs="宋体"/>
          <w:color w:val="auto"/>
          <w:kern w:val="0"/>
          <w:szCs w:val="32"/>
          <w:highlight w:val="none"/>
        </w:rPr>
        <w:t>个月以书面形式通知乙方到期重新招租等事项,具体按第8-</w:t>
      </w:r>
      <w:r>
        <w:rPr>
          <w:rFonts w:ascii="仿宋_GB2312" w:hAnsi="宋体" w:cs="宋体"/>
          <w:color w:val="auto"/>
          <w:kern w:val="0"/>
          <w:szCs w:val="32"/>
          <w:highlight w:val="none"/>
        </w:rPr>
        <w:t>1</w:t>
      </w:r>
      <w:r>
        <w:rPr>
          <w:rFonts w:hint="eastAsia" w:ascii="仿宋_GB2312" w:hAnsi="宋体" w:cs="宋体"/>
          <w:color w:val="auto"/>
          <w:kern w:val="0"/>
          <w:szCs w:val="32"/>
          <w:highlight w:val="none"/>
        </w:rPr>
        <w:t>条特别约定办理。</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6-5、租赁期内，如甲方需出售或抵押租赁物等处置该标的物时，甲方提前</w:t>
      </w:r>
      <w:r>
        <w:rPr>
          <w:rFonts w:hint="eastAsia" w:ascii="仿宋_GB2312" w:hAnsi="宋体" w:cs="宋体"/>
          <w:color w:val="auto"/>
          <w:kern w:val="0"/>
          <w:szCs w:val="32"/>
          <w:highlight w:val="none"/>
          <w:u w:val="single"/>
        </w:rPr>
        <w:t xml:space="preserve"> 3 </w:t>
      </w:r>
      <w:r>
        <w:rPr>
          <w:rFonts w:hint="eastAsia" w:ascii="仿宋_GB2312" w:hAnsi="宋体" w:cs="宋体"/>
          <w:color w:val="auto"/>
          <w:kern w:val="0"/>
          <w:szCs w:val="32"/>
          <w:highlight w:val="none"/>
        </w:rPr>
        <w:t>个月书面形式通知乙方即可解除合同，乙方应在甲方通知期限内腾空标的物交给甲方，此种情形下甲方解除合同的不承担违约及赔偿责任，不负责另行解决乙方的租赁问题，乙方需按照甲方要求在约定期限腾空标的物，乙方不得以租赁权在先为由阻碍甲方出售或抵押租赁物等处置该标的物，但在同等条件下，乙方享有优先购买或承租权。</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第七条   乙方责任</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7-1、乙方在租赁期间应依约及时交付租金、水电费、物业管理费等相关租赁费用。</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7-2、租赁期间，与甲方及时签订承租方安全责任书，做好防火、防盗、“门前五包”、综合治理及安全、保卫等工作，乙方应执行有关部门规定并承担相关责任。</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7-3、未经甲方书面同意，乙方不得擅自将承租的标的物全部或部分转让、转借或转租他人（包括在租赁标的物空地上搭建临时建筑物进行全部或部分转让、转借或转租他人的）。若征得甲方书面同意全部或部分转租或转借他人的，乙方应负责向甲方提交实际承租方或借入方的相关资料，办理相关手续，如实际承租方或借入方需签订承诺书等，且乙方的承租方或借入方不得再将标的物全部或部分转让、转租或转借他人。</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若违反本条约定，视为乙方违约，甲方有权解除合同，</w:t>
      </w:r>
      <w:r>
        <w:rPr>
          <w:rFonts w:hint="eastAsia" w:ascii="仿宋_GB2312" w:hAnsi="Songti SC Regular" w:cs="宋体"/>
          <w:color w:val="auto"/>
          <w:kern w:val="0"/>
          <w:szCs w:val="32"/>
          <w:highlight w:val="none"/>
        </w:rPr>
        <w:t>收回租赁物，</w:t>
      </w:r>
      <w:r>
        <w:rPr>
          <w:rFonts w:hint="eastAsia" w:ascii="仿宋_GB2312" w:hAnsi="宋体" w:cs="宋体"/>
          <w:color w:val="auto"/>
          <w:kern w:val="0"/>
          <w:szCs w:val="32"/>
          <w:highlight w:val="none"/>
        </w:rPr>
        <w:t>并由乙方按照本合同第10-2条承担违约责任。</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7-4、未经甲方书面同意，乙方不得以他人的名义经营、使用租赁物，若经甲方书面同意后乙方转租或转借的，乙方应当确保该转租、转借的承租方、借入方以自己的名义进行经营，不得与他人以联营、合作等方式共同经营，否则视为乙方违约，甲方有权解除本租赁合同，收回租赁物，并要求乙方按照本合同第10-2条承担违约责任。</w:t>
      </w:r>
    </w:p>
    <w:p>
      <w:pPr>
        <w:widowControl/>
        <w:adjustRightInd w:val="0"/>
        <w:snapToGrid w:val="0"/>
        <w:spacing w:line="590" w:lineRule="exact"/>
        <w:ind w:firstLine="640" w:firstLineChars="200"/>
        <w:jc w:val="left"/>
        <w:rPr>
          <w:rFonts w:ascii="仿宋_GB2312" w:hAnsi="Songti SC Regular" w:cs="宋体"/>
          <w:color w:val="auto"/>
          <w:kern w:val="0"/>
          <w:szCs w:val="32"/>
          <w:highlight w:val="none"/>
        </w:rPr>
      </w:pPr>
      <w:r>
        <w:rPr>
          <w:rFonts w:hint="eastAsia" w:ascii="仿宋_GB2312" w:hAnsi="宋体" w:cs="宋体"/>
          <w:color w:val="auto"/>
          <w:kern w:val="0"/>
          <w:szCs w:val="32"/>
          <w:highlight w:val="none"/>
        </w:rPr>
        <w:t>7-5、乙方承诺，乙方及租赁标的物的实际承租方或借入方、实际使用人不得未经甲方书面同意改变租赁标的物的用途、不得对租赁物进行全部或部分拆除、改（扩）建等。若乙方</w:t>
      </w:r>
      <w:r>
        <w:rPr>
          <w:rFonts w:hint="eastAsia" w:ascii="仿宋_GB2312" w:hAnsi="Songti SC Regular" w:cs="宋体"/>
          <w:color w:val="auto"/>
          <w:kern w:val="0"/>
          <w:szCs w:val="32"/>
          <w:highlight w:val="none"/>
        </w:rPr>
        <w:t>及实际承租方（包括实际使用人）</w:t>
      </w:r>
      <w:r>
        <w:rPr>
          <w:rFonts w:hint="eastAsia" w:ascii="仿宋_GB2312" w:hAnsi="宋体" w:cs="宋体"/>
          <w:color w:val="auto"/>
          <w:kern w:val="0"/>
          <w:szCs w:val="32"/>
          <w:highlight w:val="none"/>
        </w:rPr>
        <w:t>的装修、改（扩）建等虽经过甲方书面同意，但根据政府部门有关要求需要进行整改的（不管该建设、装修或建筑物是否为乙方所建），</w:t>
      </w:r>
      <w:r>
        <w:rPr>
          <w:rFonts w:hint="eastAsia" w:ascii="仿宋_GB2312" w:hAnsi="Songti SC Regular" w:cs="宋体"/>
          <w:color w:val="auto"/>
          <w:kern w:val="0"/>
          <w:szCs w:val="32"/>
          <w:highlight w:val="none"/>
        </w:rPr>
        <w:t>乙方应当进行整改并承担相关费用，与甲方无涉。若乙方未整改或整改不到位，视为乙方违约，甲方有权解除合同，收回租赁物，并要求乙方承担相应的拆除及整改等相关费用，并按照10-2条承担违约责任。</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7-6、乙方</w:t>
      </w:r>
      <w:r>
        <w:rPr>
          <w:rFonts w:hint="eastAsia" w:ascii="仿宋_GB2312" w:hAnsi="Songti SC Regular" w:cs="宋体"/>
          <w:color w:val="auto"/>
          <w:kern w:val="0"/>
          <w:szCs w:val="32"/>
          <w:highlight w:val="none"/>
        </w:rPr>
        <w:t>及乙方的承租方（包括实际使用人）</w:t>
      </w:r>
      <w:r>
        <w:rPr>
          <w:rFonts w:hint="eastAsia" w:ascii="仿宋_GB2312" w:hAnsi="宋体" w:cs="宋体"/>
          <w:color w:val="auto"/>
          <w:kern w:val="0"/>
          <w:szCs w:val="32"/>
          <w:highlight w:val="none"/>
        </w:rPr>
        <w:t>不得随意损坏标的物，如装修、改造等形式改变标的物交接时的状态，需先征得甲方及有关部门的书面同意，且保证工程安全和标的物结构安全后方可实施，</w:t>
      </w:r>
      <w:r>
        <w:rPr>
          <w:rFonts w:hint="eastAsia" w:ascii="仿宋_GB2312" w:hAnsi="Songti SC Regular" w:cs="宋体"/>
          <w:color w:val="auto"/>
          <w:kern w:val="0"/>
          <w:szCs w:val="32"/>
          <w:highlight w:val="none"/>
        </w:rPr>
        <w:t>费用自理，与甲方无涉</w:t>
      </w:r>
      <w:r>
        <w:rPr>
          <w:rFonts w:hint="eastAsia" w:ascii="仿宋_GB2312" w:hAnsi="宋体" w:cs="宋体"/>
          <w:color w:val="auto"/>
          <w:kern w:val="0"/>
          <w:szCs w:val="32"/>
          <w:highlight w:val="none"/>
        </w:rPr>
        <w:t>，如发生安全事故由乙方负责。如未征得甲方书面同意，甲方可要求乙方恢复原状或赔偿损失。若已经征得甲方书面同意的，该装修、改造或扩建等部分在本合同解除或租赁期满时，除可以搬迁的动产外，乙方不得拆除经甲方书面同意的所有固定不动产部分（包括装潢部分），应保持完好，无偿归甲方所有，</w:t>
      </w:r>
      <w:r>
        <w:rPr>
          <w:rFonts w:hint="eastAsia" w:ascii="仿宋_GB2312" w:hAnsi="Songti SC Regular" w:cs="宋体"/>
          <w:color w:val="auto"/>
          <w:kern w:val="0"/>
          <w:szCs w:val="32"/>
          <w:highlight w:val="none"/>
        </w:rPr>
        <w:t>如有损坏拆毁的，甲方有权要求乙方按市场价格向甲方进行赔偿</w:t>
      </w:r>
      <w:r>
        <w:rPr>
          <w:rFonts w:hint="eastAsia" w:ascii="仿宋_GB2312" w:hAnsi="宋体" w:cs="宋体"/>
          <w:color w:val="auto"/>
          <w:kern w:val="0"/>
          <w:szCs w:val="32"/>
          <w:highlight w:val="none"/>
        </w:rPr>
        <w:t>。</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7-7、乙方</w:t>
      </w:r>
      <w:r>
        <w:rPr>
          <w:rFonts w:hint="eastAsia" w:ascii="仿宋_GB2312" w:hAnsi="Songti SC Regular" w:cs="宋体"/>
          <w:color w:val="auto"/>
          <w:kern w:val="0"/>
          <w:szCs w:val="32"/>
          <w:highlight w:val="none"/>
        </w:rPr>
        <w:t>及乙方的承租方（包括实际使用人）</w:t>
      </w:r>
      <w:r>
        <w:rPr>
          <w:rFonts w:hint="eastAsia" w:ascii="仿宋_GB2312" w:hAnsi="宋体" w:cs="宋体"/>
          <w:color w:val="auto"/>
          <w:kern w:val="0"/>
          <w:szCs w:val="32"/>
          <w:highlight w:val="none"/>
        </w:rPr>
        <w:t>应合理使用所承租的标的物及其附属设施。如因使用不当，乙方</w:t>
      </w:r>
      <w:r>
        <w:rPr>
          <w:rFonts w:hint="eastAsia" w:ascii="仿宋_GB2312" w:hAnsi="Songti SC Regular" w:cs="宋体"/>
          <w:color w:val="auto"/>
          <w:kern w:val="0"/>
          <w:szCs w:val="32"/>
          <w:highlight w:val="none"/>
        </w:rPr>
        <w:t>及乙方的承租方（包括实际使用人）</w:t>
      </w:r>
      <w:r>
        <w:rPr>
          <w:rFonts w:hint="eastAsia" w:ascii="仿宋_GB2312" w:hAnsi="宋体" w:cs="宋体"/>
          <w:color w:val="auto"/>
          <w:kern w:val="0"/>
          <w:szCs w:val="32"/>
          <w:highlight w:val="none"/>
        </w:rPr>
        <w:t>其它原因造成损坏或灭失的，应立即负责修复，费用由乙方承担，若给甲方造成损失的应赔偿。</w:t>
      </w:r>
    </w:p>
    <w:p>
      <w:pPr>
        <w:widowControl/>
        <w:adjustRightInd w:val="0"/>
        <w:snapToGrid w:val="0"/>
        <w:spacing w:line="590" w:lineRule="exact"/>
        <w:ind w:firstLine="640" w:firstLineChars="200"/>
        <w:jc w:val="left"/>
        <w:rPr>
          <w:rFonts w:ascii="仿宋_GB2312" w:hAnsi="Songti SC Regular" w:cs="宋体"/>
          <w:color w:val="auto"/>
          <w:kern w:val="0"/>
          <w:szCs w:val="32"/>
          <w:highlight w:val="none"/>
        </w:rPr>
      </w:pPr>
      <w:r>
        <w:rPr>
          <w:rFonts w:hint="eastAsia" w:ascii="仿宋_GB2312" w:hAnsi="宋体" w:cs="宋体"/>
          <w:color w:val="auto"/>
          <w:kern w:val="0"/>
          <w:szCs w:val="32"/>
          <w:highlight w:val="none"/>
        </w:rPr>
        <w:t>7-8、乙方承诺，乙方应当对实际承租方</w:t>
      </w:r>
      <w:r>
        <w:rPr>
          <w:rFonts w:hint="eastAsia" w:ascii="仿宋_GB2312" w:hAnsi="Songti SC Regular" w:cs="宋体"/>
          <w:color w:val="auto"/>
          <w:kern w:val="0"/>
          <w:szCs w:val="32"/>
          <w:highlight w:val="none"/>
        </w:rPr>
        <w:t>（包括实际使用人）</w:t>
      </w:r>
      <w:r>
        <w:rPr>
          <w:rFonts w:hint="eastAsia" w:ascii="仿宋_GB2312" w:hAnsi="宋体" w:cs="宋体"/>
          <w:color w:val="auto"/>
          <w:kern w:val="0"/>
          <w:szCs w:val="32"/>
          <w:highlight w:val="none"/>
        </w:rPr>
        <w:t>进行监管，</w:t>
      </w:r>
      <w:r>
        <w:rPr>
          <w:rFonts w:hint="eastAsia" w:ascii="仿宋_GB2312" w:hAnsi="Songti SC Regular" w:cs="宋体"/>
          <w:color w:val="auto"/>
          <w:kern w:val="0"/>
          <w:szCs w:val="32"/>
          <w:highlight w:val="none"/>
        </w:rPr>
        <w:t>若发现有不符合甲方要求的行为或违法违规行为等应当立即要求实际承租方（包括实际使用人）整改。否则，视为乙方违约，甲方有权解除合同，收回租赁物，并要求乙方按照本合同10-2条承担违约责任。</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7-9、租赁期间标的物的管理由乙方全权负责，对标的物出现的不安全因素，乙方应及时向甲方报告。乙方对甲方正常的检查与修缮给予协助。</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7-10、乙方负责做好标的物的保险工作。</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7-11、乙方财产需自行保管，独立承担民事、刑事责任。</w:t>
      </w:r>
    </w:p>
    <w:p>
      <w:pPr>
        <w:widowControl/>
        <w:adjustRightInd w:val="0"/>
        <w:snapToGrid w:val="0"/>
        <w:spacing w:line="590" w:lineRule="exact"/>
        <w:ind w:firstLine="640" w:firstLineChars="200"/>
        <w:jc w:val="left"/>
        <w:rPr>
          <w:rFonts w:ascii="仿宋_GB2312" w:hAnsi="Songti SC Regular" w:cs="宋体"/>
          <w:color w:val="auto"/>
          <w:kern w:val="0"/>
          <w:szCs w:val="32"/>
          <w:highlight w:val="none"/>
        </w:rPr>
      </w:pPr>
      <w:r>
        <w:rPr>
          <w:rFonts w:hint="eastAsia" w:ascii="仿宋_GB2312" w:hAnsi="宋体" w:cs="宋体"/>
          <w:color w:val="auto"/>
          <w:kern w:val="0"/>
          <w:szCs w:val="32"/>
          <w:highlight w:val="none"/>
        </w:rPr>
        <w:t>7-12、乙方应当按时交纳租金、水电等需要乙方在租赁期间承担的相关费用，若未按时交纳，乙方同意甲方有权采取断水断电措施。</w:t>
      </w:r>
      <w:r>
        <w:rPr>
          <w:rFonts w:hint="eastAsia" w:ascii="仿宋_GB2312" w:hAnsi="Songti SC Regular" w:cs="宋体"/>
          <w:color w:val="auto"/>
          <w:kern w:val="0"/>
          <w:szCs w:val="32"/>
          <w:highlight w:val="none"/>
        </w:rPr>
        <w:t>合同期满或合同解除的，水电等一切停止供应，乙方应做好相关的工作并自行承担由此产生的所有风险。</w:t>
      </w:r>
    </w:p>
    <w:p>
      <w:pPr>
        <w:widowControl/>
        <w:adjustRightInd w:val="0"/>
        <w:snapToGrid w:val="0"/>
        <w:spacing w:line="590" w:lineRule="exact"/>
        <w:ind w:firstLine="640" w:firstLineChars="200"/>
        <w:jc w:val="left"/>
        <w:rPr>
          <w:rFonts w:ascii="仿宋_GB2312" w:hAnsi="Songti SC Regular" w:cs="宋体"/>
          <w:color w:val="auto"/>
          <w:kern w:val="0"/>
          <w:szCs w:val="32"/>
          <w:highlight w:val="none"/>
        </w:rPr>
      </w:pPr>
      <w:r>
        <w:rPr>
          <w:rFonts w:ascii="仿宋_GB2312" w:hAnsi="Songti SC Regular" w:cs="宋体"/>
          <w:color w:val="auto"/>
          <w:kern w:val="0"/>
          <w:szCs w:val="32"/>
          <w:highlight w:val="none"/>
        </w:rPr>
        <w:t>7</w:t>
      </w:r>
      <w:r>
        <w:rPr>
          <w:rFonts w:hint="eastAsia" w:ascii="仿宋_GB2312" w:hAnsi="Songti SC Regular" w:cs="宋体"/>
          <w:color w:val="auto"/>
          <w:kern w:val="0"/>
          <w:szCs w:val="32"/>
          <w:highlight w:val="none"/>
        </w:rPr>
        <w:t>-</w:t>
      </w:r>
      <w:r>
        <w:rPr>
          <w:rFonts w:ascii="仿宋_GB2312" w:hAnsi="Songti SC Regular" w:cs="宋体"/>
          <w:color w:val="auto"/>
          <w:kern w:val="0"/>
          <w:szCs w:val="32"/>
          <w:highlight w:val="none"/>
        </w:rPr>
        <w:t>1</w:t>
      </w:r>
      <w:r>
        <w:rPr>
          <w:rFonts w:hint="eastAsia" w:ascii="仿宋_GB2312" w:hAnsi="Songti SC Regular" w:cs="宋体"/>
          <w:color w:val="auto"/>
          <w:kern w:val="0"/>
          <w:szCs w:val="32"/>
          <w:highlight w:val="none"/>
        </w:rPr>
        <w:t>3、如甲方由于新冠疫情等原因减免乙方租金或给予乙方其他优惠、扶持政策（以下合称“优惠措施”），乙方应同步减免</w:t>
      </w:r>
      <w:r>
        <w:rPr>
          <w:rFonts w:hint="eastAsia" w:ascii="仿宋_GB2312" w:hAnsi="宋体" w:cs="宋体"/>
          <w:color w:val="auto"/>
          <w:kern w:val="0"/>
          <w:szCs w:val="32"/>
          <w:highlight w:val="none"/>
        </w:rPr>
        <w:t>次承租方（包括实际使用人）向乙方支付的租金或落实相应优惠措施，以确保次承租方（包括实际使用人）为该等优惠措施的实际享受者。</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第八条  合同的变更、解除与终止</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8-1、双方可以协商变更或终止合同。</w:t>
      </w:r>
    </w:p>
    <w:p>
      <w:pPr>
        <w:adjustRightInd w:val="0"/>
        <w:snapToGrid w:val="0"/>
        <w:spacing w:line="590" w:lineRule="exact"/>
        <w:ind w:firstLine="643" w:firstLineChars="200"/>
        <w:jc w:val="left"/>
        <w:rPr>
          <w:rFonts w:ascii="仿宋_GB2312" w:hAnsi="宋体"/>
          <w:color w:val="auto"/>
          <w:szCs w:val="21"/>
          <w:highlight w:val="none"/>
        </w:rPr>
      </w:pPr>
      <w:r>
        <w:rPr>
          <w:rFonts w:hint="eastAsia" w:ascii="仿宋_GB2312" w:hAnsi="宋体"/>
          <w:b/>
          <w:bCs/>
          <w:color w:val="auto"/>
          <w:szCs w:val="21"/>
          <w:highlight w:val="none"/>
        </w:rPr>
        <w:t>特别约定：</w:t>
      </w:r>
      <w:r>
        <w:rPr>
          <w:rFonts w:hint="eastAsia" w:ascii="仿宋_GB2312" w:hAnsi="宋体"/>
          <w:color w:val="auto"/>
          <w:szCs w:val="21"/>
          <w:highlight w:val="none"/>
        </w:rPr>
        <w:t xml:space="preserve">租赁期限届满，合同自然终止，甲方有权收回标的物，对乙方的装修等费用不作任何补偿，乙方应如期归还。标的物若继续出租的，甲方按照有关规定，进行新的审批招租手续，重新确定承租人。在同等条件下，乙方享有优先承租权。如乙方不参加招租的，优先承租权丧失。如乙方继续承租，应根据相关规定办理，双方另行签订租赁合同。 </w:t>
      </w:r>
    </w:p>
    <w:p>
      <w:pPr>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8-2、租赁期间，乙方或乙方的</w:t>
      </w:r>
      <w:r>
        <w:rPr>
          <w:rFonts w:hint="eastAsia" w:ascii="仿宋_GB2312" w:hAnsi="Songti SC Regular" w:cs="宋体"/>
          <w:color w:val="auto"/>
          <w:kern w:val="0"/>
          <w:szCs w:val="32"/>
          <w:highlight w:val="none"/>
        </w:rPr>
        <w:t>实际承租方（包括实际使用人）</w:t>
      </w:r>
      <w:r>
        <w:rPr>
          <w:rFonts w:hint="eastAsia" w:ascii="仿宋_GB2312" w:hAnsi="宋体" w:cs="宋体"/>
          <w:color w:val="auto"/>
          <w:kern w:val="0"/>
          <w:szCs w:val="32"/>
          <w:highlight w:val="none"/>
        </w:rPr>
        <w:t>的任何一方有下列行为之一的，视为乙方违约，甲方有权立即单方面解除本合同，收回租赁物：</w:t>
      </w:r>
    </w:p>
    <w:p>
      <w:pPr>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（1）未经甲方书面同意，擅自转租、转让、转借他人或与他人联营、合作经营或以联营方式转让、部分转租他人或以其它方式全部或部分转让使用权的；</w:t>
      </w:r>
    </w:p>
    <w:p>
      <w:pPr>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（2）乙方或次承租方（包括实际使用人）擅自改变标的物用途、用地性质或擅自改变租赁标的物约定用途的；</w:t>
      </w:r>
    </w:p>
    <w:p>
      <w:pPr>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（3）损坏标的物，在甲方提出的合理期限内仍未修复的；</w:t>
      </w:r>
    </w:p>
    <w:p>
      <w:pPr>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（4）利用标的物存放危险物品或进行违法违纪违规活动的；</w:t>
      </w:r>
    </w:p>
    <w:p>
      <w:pPr>
        <w:adjustRightInd w:val="0"/>
        <w:snapToGrid w:val="0"/>
        <w:spacing w:line="590" w:lineRule="exact"/>
        <w:ind w:firstLine="640" w:firstLineChars="200"/>
        <w:jc w:val="left"/>
        <w:rPr>
          <w:rFonts w:ascii="仿宋_GB2312"/>
          <w:color w:val="auto"/>
          <w:szCs w:val="21"/>
          <w:highlight w:val="none"/>
        </w:rPr>
      </w:pPr>
      <w:r>
        <w:rPr>
          <w:rFonts w:hint="eastAsia" w:ascii="仿宋_GB2312" w:hAnsi="宋体" w:cs="宋体"/>
          <w:color w:val="auto"/>
          <w:kern w:val="0"/>
          <w:szCs w:val="32"/>
          <w:highlight w:val="none"/>
        </w:rPr>
        <w:t>（5）逾期累计两个月以上拖欠租金的或未交纳按约定应当由乙方交纳的各项费用的；</w:t>
      </w:r>
    </w:p>
    <w:p>
      <w:pPr>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6）租赁期间，擅自改变产业、行业，违背区委区政府产业、行业要求；擅自改变经营范围；经营过程中产生油烟、噪音、油污、污水、废气等影响居民生活、第三方生产经营或存在安全风险隐患、日常经营脏乱差影响周边环境、遭到投诉；发生食品安全、环保保护、质量投诉、消防隐患（二合一、三合一）等违法违规情况的等；</w:t>
      </w:r>
    </w:p>
    <w:p>
      <w:pPr>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（7）租赁期间，未经甲方书面同意擅自装修、改（扩）建、拆改标的物；装修、改（扩）建未按照向甲方及政府部门备案方案装修、改（扩）建；未严格落实相关责任，未按标准进行装修或改（扩）建的等；</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（8）租赁期间，未根据甲方要求积极配合各级政府部门的政策落实，包括但不限于违反第7-</w:t>
      </w:r>
      <w:r>
        <w:rPr>
          <w:rFonts w:ascii="仿宋_GB2312" w:hAnsi="宋体" w:cs="宋体"/>
          <w:color w:val="auto"/>
          <w:kern w:val="0"/>
          <w:szCs w:val="32"/>
          <w:highlight w:val="none"/>
        </w:rPr>
        <w:t>14</w:t>
      </w:r>
      <w:r>
        <w:rPr>
          <w:rFonts w:hint="eastAsia" w:ascii="仿宋_GB2312" w:hAnsi="宋体" w:cs="宋体"/>
          <w:color w:val="auto"/>
          <w:kern w:val="0"/>
          <w:szCs w:val="32"/>
          <w:highlight w:val="none"/>
        </w:rPr>
        <w:t>条，未</w:t>
      </w:r>
      <w:r>
        <w:rPr>
          <w:rFonts w:hint="eastAsia" w:ascii="仿宋_GB2312" w:hAnsi="Songti SC Regular" w:cs="宋体"/>
          <w:color w:val="auto"/>
          <w:kern w:val="0"/>
          <w:szCs w:val="32"/>
          <w:highlight w:val="none"/>
        </w:rPr>
        <w:t>同步减免</w:t>
      </w:r>
      <w:r>
        <w:rPr>
          <w:rFonts w:hint="eastAsia" w:ascii="仿宋_GB2312" w:hAnsi="宋体" w:cs="宋体"/>
          <w:color w:val="auto"/>
          <w:kern w:val="0"/>
          <w:szCs w:val="32"/>
          <w:highlight w:val="none"/>
        </w:rPr>
        <w:t>次承租方（包括实际使用人）的租金或落实相应优惠措施；不配合社区等部门工作。</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8-3、租赁期满合同自然终止。</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第九条  甲方违约责任</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未按时交付标的物供乙方使用，每逾期一日应向乙方支付原日租金5倍的违约金。</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第十条   乙方违约责任</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10-1、未按时交付租金及水电费用、物业管理等费用的，应如数补交，每逾期一日，应按所欠费用总额的千分之五支付甲方滞纳金。如因乙方未按时交纳前述费用造成停水停电的，由乙方承担责任。若逾期累计超过两个月的，则甲方有权选择按照10-2条处理。</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10-2、租赁期间，乙方有本合同第8-2条行为之一的或违反本合同其他约定的，甲方有权解除合同，收回该标的物，已收取的租金和押金不予退还，同时乙方应按照违约当年度租金总额的20%向甲方支付违约金。若给甲方造成损失，乙方还应进行相应赔偿。</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10-3、在租赁期间，乙方未经甲方同意，中途擅自退租的（包括但不限于乙方未按约定续签年度租赁合同的），甲方已收取的租金和押金不予退还，同时乙方应该按当年度租金总额20%向甲方支付违约金。若给甲方造成损失的，乙方还应进行相应赔偿。</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10-4、租赁期满，乙方逾期归还标的物的，则每逾期一日应向甲方支付原日租金5倍的违约金。乙方还应承担因逾期归还给甲方造成的损失。</w:t>
      </w:r>
    </w:p>
    <w:p>
      <w:pPr>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10-5、在租赁期间，因乙方疏忽造成租赁物损失、破坏，或人身、财产损失的，乙方承担所有损失和责任，并对损坏的标的物进行维修，承担维修费用。维修期间，租金不予减免。</w:t>
      </w:r>
    </w:p>
    <w:p>
      <w:pPr>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10-6、因乙方疏忽引发的火灾、盗窃或其他安全等事故，损害到其他单位或个人利益时，由乙方承担责任，赔偿所有损失。</w:t>
      </w:r>
    </w:p>
    <w:p>
      <w:pPr>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第十一条   标的物的验收、交还</w:t>
      </w:r>
    </w:p>
    <w:p>
      <w:pPr>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标的物验收时双方应共同参与。租赁期满或因本合同约定提前解除本租赁合同的，除本合同第7-6条约定外，乙方均应将标的物恢复原状并在甲方要求的时间内将标的物腾空归还给甲方,即标的物内除可以搬迁的动产外，乙方不得拆除经甲方书面同意</w:t>
      </w:r>
      <w:r>
        <w:rPr>
          <w:rFonts w:hint="eastAsia" w:ascii="仿宋_GB2312" w:cs="宋体" w:hAnsiTheme="minorEastAsia"/>
          <w:color w:val="auto"/>
          <w:kern w:val="0"/>
          <w:szCs w:val="32"/>
          <w:highlight w:val="none"/>
        </w:rPr>
        <w:t>装修或改（扩）建的</w:t>
      </w:r>
      <w:r>
        <w:rPr>
          <w:rFonts w:hint="eastAsia" w:ascii="仿宋_GB2312" w:hAnsi="宋体" w:cs="宋体"/>
          <w:color w:val="auto"/>
          <w:kern w:val="0"/>
          <w:szCs w:val="32"/>
          <w:highlight w:val="none"/>
        </w:rPr>
        <w:t>所有固定不动产部分（包括装潢部分），无条件无偿属于甲方所有；未经甲方书面同意装修或改（扩）建的部位，甲方有权要求乙方恢复原状。乙方的所有归还手续必须在合同到期或合同解除后的</w:t>
      </w:r>
      <w:r>
        <w:rPr>
          <w:rFonts w:hint="eastAsia" w:ascii="仿宋_GB2312" w:hAnsi="宋体" w:cs="宋体"/>
          <w:color w:val="auto"/>
          <w:kern w:val="0"/>
          <w:szCs w:val="32"/>
          <w:highlight w:val="none"/>
          <w:u w:val="single"/>
        </w:rPr>
        <w:t>15</w:t>
      </w:r>
      <w:r>
        <w:rPr>
          <w:rFonts w:hint="eastAsia" w:ascii="仿宋_GB2312" w:hAnsi="宋体" w:cs="宋体"/>
          <w:color w:val="auto"/>
          <w:kern w:val="0"/>
          <w:szCs w:val="32"/>
          <w:highlight w:val="none"/>
        </w:rPr>
        <w:t>日内履行完毕。</w:t>
      </w:r>
    </w:p>
    <w:p>
      <w:pPr>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乙方若未按时腾退，则甲方有权处置（包括拆除、抛弃、变卖等）标的物内的所有装修、器物、设施、设备等</w:t>
      </w:r>
      <w:r>
        <w:rPr>
          <w:rFonts w:hint="eastAsia" w:ascii="仿宋_GB2312" w:hAnsi="Songti SC Regular" w:cs="宋体"/>
          <w:color w:val="auto"/>
          <w:kern w:val="0"/>
          <w:szCs w:val="32"/>
          <w:highlight w:val="none"/>
        </w:rPr>
        <w:t>（无论该等装修、器物、设施、设备的所有权属于哪一方）</w:t>
      </w:r>
      <w:r>
        <w:rPr>
          <w:rFonts w:hint="eastAsia" w:ascii="仿宋_GB2312" w:hAnsi="宋体" w:cs="宋体"/>
          <w:color w:val="auto"/>
          <w:kern w:val="0"/>
          <w:szCs w:val="32"/>
          <w:highlight w:val="none"/>
        </w:rPr>
        <w:t>，相关损失及费用由乙方自行承担。</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第十二条   免责条件</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因不可抗力原因致使本合同不能继续履行或造成的损失，甲、乙双方互不承担责任。</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第十三条   争议的解决：因本合同引起的或与本合同有关的任何争议，由甲、乙双方协商解决，协商不成的由租赁标的不动产所在地人民法院诉讼解决，守约方为维护权益而支付的律师费、保全费、担保费、鉴定评估费、拍卖费、差旅费等相关费用由违约方承担。</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第十四条   本合同自双方签字盖章后生效。本合同一式三份，租赁双方、区国资部门各一份，具有同等法律效力。</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第十五条 其他约定的事项：</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1、乙方确认，乙方所有文书材料（包括法院文件）的送达地址为：</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；联系人：</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，联系电话：</w:t>
      </w:r>
      <w:r>
        <w:rPr>
          <w:rFonts w:hint="eastAsia" w:ascii="仿宋_GB2312" w:hAnsi="宋体" w:cs="宋体"/>
          <w:color w:val="auto"/>
          <w:kern w:val="0"/>
          <w:szCs w:val="32"/>
          <w:highlight w:val="none"/>
          <w:u w:val="single"/>
        </w:rPr>
        <w:t xml:space="preserve">            </w:t>
      </w:r>
      <w:r>
        <w:rPr>
          <w:rFonts w:hint="eastAsia" w:ascii="仿宋_GB2312" w:hAnsi="宋体" w:cs="宋体"/>
          <w:color w:val="auto"/>
          <w:kern w:val="0"/>
          <w:szCs w:val="32"/>
          <w:highlight w:val="none"/>
        </w:rPr>
        <w:t>；甲方向乙方寄送的材料或张贴告示到上述地址、发送到上述联系人均视为乙方已经收悉。</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2、年度租赁合同、拍卖有关材料、承租方安全责任书、停车场平面图均为本合同的附件。</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3、对本合同的任何补充或修改，均应由双方签署补充协议。</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第十六条 本合同未尽事宜，双方另行协商解决。</w:t>
      </w:r>
    </w:p>
    <w:p>
      <w:pPr>
        <w:widowControl/>
        <w:adjustRightInd w:val="0"/>
        <w:snapToGrid w:val="0"/>
        <w:spacing w:line="590" w:lineRule="exact"/>
        <w:ind w:firstLine="640" w:firstLineChars="200"/>
        <w:jc w:val="left"/>
        <w:rPr>
          <w:rFonts w:ascii="仿宋_GB2312" w:hAnsi="宋体" w:cs="宋体"/>
          <w:color w:val="auto"/>
          <w:kern w:val="0"/>
          <w:szCs w:val="32"/>
          <w:highlight w:val="none"/>
        </w:rPr>
      </w:pPr>
    </w:p>
    <w:p>
      <w:pPr>
        <w:widowControl/>
        <w:adjustRightInd w:val="0"/>
        <w:snapToGrid w:val="0"/>
        <w:spacing w:line="590" w:lineRule="exact"/>
        <w:ind w:firstLine="640" w:firstLineChars="200"/>
        <w:jc w:val="left"/>
        <w:rPr>
          <w:rFonts w:ascii="仿宋_GB2312" w:hAnsi="宋体" w:cs="宋体"/>
          <w:color w:val="auto"/>
          <w:kern w:val="0"/>
          <w:szCs w:val="32"/>
          <w:highlight w:val="none"/>
        </w:rPr>
      </w:pPr>
    </w:p>
    <w:p>
      <w:pPr>
        <w:widowControl/>
        <w:adjustRightInd w:val="0"/>
        <w:snapToGrid w:val="0"/>
        <w:spacing w:line="480" w:lineRule="auto"/>
        <w:ind w:firstLine="320" w:firstLineChars="1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t>甲方(签章)：                  乙方(签章)：</w:t>
      </w:r>
    </w:p>
    <w:p>
      <w:pPr>
        <w:widowControl/>
        <w:adjustRightInd w:val="0"/>
        <w:snapToGrid w:val="0"/>
        <w:spacing w:line="480" w:lineRule="auto"/>
        <w:ind w:firstLine="320" w:firstLineChars="100"/>
        <w:jc w:val="left"/>
        <w:rPr>
          <w:rFonts w:ascii="仿宋_GB2312" w:hAnsi="宋体" w:cs="宋体"/>
          <w:color w:val="auto"/>
          <w:kern w:val="0"/>
          <w:szCs w:val="32"/>
          <w:highlight w:val="none"/>
        </w:rPr>
      </w:pPr>
      <w:r>
        <w:rPr>
          <w:rFonts w:hint="eastAsia" w:ascii="仿宋_GB2312" w:hAnsi="宋体" w:cs="宋体"/>
          <w:color w:val="auto"/>
          <w:kern w:val="0"/>
          <w:szCs w:val="32"/>
          <w:highlight w:val="none"/>
        </w:rPr>
        <w:br w:type="textWrapping"/>
      </w:r>
      <w:r>
        <w:rPr>
          <w:rFonts w:hint="eastAsia" w:ascii="仿宋_GB2312" w:hAnsi="宋体" w:cs="宋体"/>
          <w:color w:val="auto"/>
          <w:kern w:val="0"/>
          <w:szCs w:val="32"/>
          <w:highlight w:val="none"/>
        </w:rPr>
        <w:t> 法定代表人：          法定代表人：</w:t>
      </w:r>
    </w:p>
    <w:p>
      <w:pPr>
        <w:widowControl/>
        <w:adjustRightInd w:val="0"/>
        <w:snapToGrid w:val="0"/>
        <w:ind w:firstLine="320" w:firstLineChars="100"/>
        <w:jc w:val="left"/>
        <w:rPr>
          <w:rFonts w:ascii="仿宋_GB2312" w:hAnsi="宋体" w:cs="宋体"/>
          <w:color w:val="auto"/>
          <w:kern w:val="0"/>
          <w:szCs w:val="32"/>
          <w:highlight w:val="none"/>
        </w:rPr>
      </w:pPr>
    </w:p>
    <w:p>
      <w:pPr>
        <w:widowControl/>
        <w:adjustRightInd w:val="0"/>
        <w:snapToGrid w:val="0"/>
        <w:spacing w:line="480" w:lineRule="auto"/>
        <w:ind w:firstLine="320" w:firstLineChars="100"/>
        <w:jc w:val="left"/>
        <w:rPr>
          <w:rFonts w:hint="eastAsia" w:ascii="仿宋_GB2312" w:hAnsi="宋体" w:cs="宋体"/>
          <w:color w:val="auto"/>
          <w:kern w:val="0"/>
          <w:szCs w:val="32"/>
          <w:highlight w:val="none"/>
        </w:rPr>
      </w:pPr>
      <w:r>
        <w:rPr>
          <w:rFonts w:hint="eastAsia" w:ascii="仿宋_GB2312" w:hAnsi="宋体" w:cs="宋体"/>
          <w:color w:val="auto"/>
          <w:kern w:val="0"/>
          <w:szCs w:val="32"/>
          <w:highlight w:val="none"/>
        </w:rPr>
        <w:t>     年 月  日              年 月 日</w:t>
      </w:r>
    </w:p>
    <w:p>
      <w:pPr>
        <w:widowControl/>
        <w:adjustRightInd w:val="0"/>
        <w:snapToGrid w:val="0"/>
        <w:spacing w:line="480" w:lineRule="auto"/>
        <w:ind w:firstLine="320" w:firstLineChars="100"/>
        <w:jc w:val="left"/>
        <w:rPr>
          <w:rFonts w:hint="eastAsia" w:ascii="仿宋_GB2312" w:hAnsi="宋体" w:cs="宋体"/>
          <w:color w:val="auto"/>
          <w:kern w:val="0"/>
          <w:szCs w:val="32"/>
          <w:highlight w:val="none"/>
        </w:rPr>
      </w:pPr>
    </w:p>
    <w:p>
      <w:pPr>
        <w:jc w:val="center"/>
        <w:rPr>
          <w:rFonts w:ascii="方正小标宋简体" w:eastAsia="方正小标宋简体" w:cs="Arial" w:hAnsiTheme="minorEastAsia"/>
          <w:b/>
          <w:sz w:val="44"/>
          <w:szCs w:val="44"/>
          <w:shd w:val="clear" w:color="auto" w:fill="FFFFFF"/>
        </w:rPr>
      </w:pPr>
      <w:r>
        <w:rPr>
          <w:rFonts w:hint="eastAsia" w:ascii="方正小标宋简体" w:eastAsia="方正小标宋简体" w:cs="宋体" w:hAnsiTheme="minorEastAsia"/>
          <w:b/>
          <w:kern w:val="0"/>
          <w:sz w:val="44"/>
          <w:szCs w:val="44"/>
        </w:rPr>
        <w:t>承租方安全责任书</w:t>
      </w:r>
    </w:p>
    <w:p>
      <w:pPr>
        <w:widowControl/>
        <w:spacing w:before="100" w:beforeAutospacing="1" w:after="100" w:afterAutospacing="1" w:line="560" w:lineRule="exact"/>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甲方：宁波市江北区坤兴工贸实业资产管理有限公司</w:t>
      </w:r>
    </w:p>
    <w:p>
      <w:pPr>
        <w:widowControl/>
        <w:spacing w:before="100" w:beforeAutospacing="1" w:after="100" w:afterAutospacing="1" w:line="560" w:lineRule="exact"/>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乙方：</w:t>
      </w:r>
    </w:p>
    <w:p>
      <w:pPr>
        <w:widowControl/>
        <w:adjustRightInd w:val="0"/>
        <w:snapToGrid w:val="0"/>
        <w:spacing w:line="360" w:lineRule="auto"/>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为了贯彻执行《中华人民共和国消防法》及其他各种安全法规，牢固树立安全第一的思想，遵照《浙江省安全生产条例》、《</w:t>
      </w:r>
      <w:r>
        <w:rPr>
          <w:rFonts w:hint="eastAsia" w:ascii="仿宋_GB2312" w:eastAsia="仿宋_GB2312" w:cs="宋体" w:hAnsiTheme="minorEastAsia"/>
          <w:kern w:val="0"/>
          <w:sz w:val="32"/>
          <w:szCs w:val="32"/>
        </w:rPr>
        <w:t>宁波市江北区人民政府关于进一步加强江北区国有房产管理工作的意见</w:t>
      </w:r>
      <w:r>
        <w:rPr>
          <w:rFonts w:hint="eastAsia" w:ascii="仿宋_GB2312" w:eastAsia="仿宋_GB2312" w:cs="Arial" w:hAnsiTheme="minorEastAsia"/>
          <w:color w:val="000000"/>
          <w:sz w:val="32"/>
          <w:szCs w:val="32"/>
          <w:shd w:val="clear" w:color="auto" w:fill="FFFFFF"/>
        </w:rPr>
        <w:t>》等有关法律法规的规定，明确甲方为场地（房屋）出租单位，对乙方履行安全监管职责，乙方为承租单位，承担安全生产主体责任，为此甲、乙双方签订以下安全责任书。</w:t>
      </w:r>
      <w:r>
        <w:rPr>
          <w:rFonts w:hint="eastAsia" w:ascii="仿宋_GB2312" w:eastAsia="仿宋_GB2312" w:cs="Arial" w:hAnsiTheme="minorEastAsia"/>
          <w:color w:val="000000"/>
          <w:sz w:val="32"/>
          <w:szCs w:val="32"/>
        </w:rPr>
        <w:br w:type="textWrapping"/>
      </w:r>
      <w:r>
        <w:rPr>
          <w:rFonts w:hint="eastAsia" w:ascii="仿宋_GB2312" w:eastAsia="仿宋_GB2312" w:cs="Arial" w:hAnsiTheme="minorEastAsia"/>
          <w:color w:val="000000"/>
          <w:sz w:val="32"/>
          <w:szCs w:val="32"/>
          <w:shd w:val="clear" w:color="auto" w:fill="FFFFFF"/>
        </w:rPr>
        <w:t xml:space="preserve">    一、乙方租赁甲方生产经营用地（房屋），在经营中应承担以下安全责任。</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1.乙方应严格遵守国家的法律、法规和地方各项治安、消防安全管理制度，自觉接受执法和主管部门的检查和甲方监管，配合上级部门及甲方进行安全监督检查工作。</w:t>
      </w:r>
    </w:p>
    <w:p>
      <w:pPr>
        <w:widowControl/>
        <w:adjustRightInd w:val="0"/>
        <w:snapToGrid w:val="0"/>
        <w:spacing w:line="360" w:lineRule="auto"/>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2.乙方应根据国家及地方相关法律法规制定各项具体安全制度和应急预案，并组织实施、演练；制定安全岗位责任制，划分防火责任区，指定安全防火责任人，按照国家标准完善安全生产必备的硬件设施，配备消防器材并掌握其使用方法，办理完毕各类资质许可和证照。</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3.乙方在生产经营过程中加强日常安全管理，定期对该租赁物电器、电器线路进行检查检修,加强安全性能维护,并配合甲方对本租赁物的消防安全检查、监督；配备专职安全管理人员，制定安全管理制度，做好安全管理台账，加强对员工安全教育培训，组织安全检查，及时消除安全隐患，组织好安全值班、值宿，确保资产及货物的安全完好。</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4.乙方不得擅自对租赁物拆墙、打洞或改（扩）建等形式改变租赁物交接时的状态，不得堆放超过租赁物负荷的重物、损坏附属设施等行为。如确需对租赁物装修、改（扩）建等，在报经甲方书面同意前提下，再报经公安、消防、房管等相关职能部门批准同意后方可进行施工，并验收合格，才能使用，所需费用由乙方自理，水、电、气配置图交甲方备存。</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5.乙方在经营活动中，不得在承租区域内存放易燃、易爆、有毒等危险品。乙方不得利用租赁物从事非法生产、加工、储存等违法犯罪活动。</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6.乙方应妥善管理承租区域内消防、安全设施设备，定期进行检查、维护，对过期、失效消防器材进行更换。</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7.乙方用电必须符合安全规定，禁止违章安装灯具和配电设施，禁止使用超负荷电气产品，及时对用电设备维修保养，禁止带病作业，禁止乱拉接电线，禁止使用违禁电器，禁止使用不符合标准的保险装置，租赁区域内禁止进行电焊、风焊、切割等电气作业。未经消防、电力部门允许,不准使用大功率电器,不准私拉电力线路,以防火灾。停电后，可用电筒和停电宝，禁止使用蜡烛等明火照明。</w:t>
      </w:r>
    </w:p>
    <w:p>
      <w:pPr>
        <w:widowControl/>
        <w:adjustRightInd w:val="0"/>
        <w:snapToGrid w:val="0"/>
        <w:spacing w:line="360" w:lineRule="auto"/>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8.在租赁区域内需要安装火炉使用明火时，必须符合安全规定（不具备条件的，禁止使用）。经防火负责人批准，并指定专人管理。明火装置与电线、顶棚、房檐、门窗、墙壁等租赁区域内设施保持一定的安全距离，并用耐火材料隔开。禁止使用汽油等易燃液体引火，禁止使用火源烘烤衣物和其它物品，禁止堆放易燃、易爆等危险物品，禁止在消防通道内乱堆乱放垃圾、杂物。</w:t>
      </w:r>
    </w:p>
    <w:p>
      <w:pPr>
        <w:widowControl/>
        <w:adjustRightInd w:val="0"/>
        <w:snapToGrid w:val="0"/>
        <w:spacing w:line="360" w:lineRule="auto"/>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9.乙方因生产经营需要配备的电工、锅炉工等特种作业人员必须持证上岗，上岗证复印件加盖乙方公章报甲方及相关部门备案。乙方必须制定锅炉等特种设备安全管理制度，落实安全防控措施，对危险源管控到位。乙方应按照国务院《特种设备安全监察条例》及地方相关特种设备规定，定期对锅炉等特种设备进行检测检修，保证安全使用。</w:t>
      </w:r>
      <w:r>
        <w:rPr>
          <w:rFonts w:hint="eastAsia" w:eastAsia="仿宋_GB2312" w:cs="Arial" w:asciiTheme="minorEastAsia" w:hAnsiTheme="minorEastAsia"/>
          <w:color w:val="000000"/>
          <w:sz w:val="32"/>
          <w:szCs w:val="32"/>
          <w:shd w:val="clear" w:color="auto" w:fill="FFFFFF"/>
        </w:rPr>
        <w:t> </w:t>
      </w:r>
    </w:p>
    <w:p>
      <w:pPr>
        <w:widowControl/>
        <w:adjustRightInd w:val="0"/>
        <w:snapToGrid w:val="0"/>
        <w:spacing w:line="360" w:lineRule="auto"/>
        <w:ind w:firstLine="640" w:firstLineChars="200"/>
        <w:jc w:val="left"/>
        <w:rPr>
          <w:rFonts w:hint="eastAsia"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10.乙方每天生产经营结束后，必须进行彻底检查，消除易燃物，处理好电源、火源，并做好书面的交接班手续，有关人员方可离去。</w:t>
      </w:r>
    </w:p>
    <w:p>
      <w:pPr>
        <w:widowControl/>
        <w:adjustRightInd w:val="0"/>
        <w:snapToGrid w:val="0"/>
        <w:spacing w:line="360" w:lineRule="auto"/>
        <w:ind w:firstLine="640" w:firstLineChars="200"/>
        <w:jc w:val="left"/>
        <w:rPr>
          <w:rFonts w:hint="eastAsia" w:ascii="仿宋_GB2312" w:eastAsia="仿宋_GB2312" w:cs="Arial" w:hAnsiTheme="minorEastAsia"/>
          <w:color w:val="000000"/>
          <w:sz w:val="32"/>
          <w:szCs w:val="32"/>
          <w:highlight w:val="none"/>
          <w:shd w:val="clear" w:color="auto" w:fill="FFFFFF"/>
          <w:lang w:val="en-US" w:eastAsia="zh-CN"/>
        </w:rPr>
      </w:pPr>
      <w:r>
        <w:rPr>
          <w:rFonts w:hint="eastAsia" w:ascii="仿宋_GB2312" w:eastAsia="仿宋_GB2312" w:cs="Arial" w:hAnsiTheme="minorEastAsia"/>
          <w:color w:val="000000"/>
          <w:sz w:val="32"/>
          <w:szCs w:val="32"/>
          <w:highlight w:val="none"/>
          <w:shd w:val="clear" w:color="auto" w:fill="FFFFFF"/>
          <w:lang w:val="en-US" w:eastAsia="zh-CN"/>
        </w:rPr>
        <w:t>11.</w:t>
      </w:r>
      <w:r>
        <w:rPr>
          <w:rFonts w:hint="eastAsia" w:ascii="仿宋_GB2312" w:eastAsia="仿宋_GB2312" w:cs="Arial" w:hAnsiTheme="minorEastAsia"/>
          <w:color w:val="000000"/>
          <w:sz w:val="32"/>
          <w:szCs w:val="32"/>
          <w:highlight w:val="none"/>
          <w:shd w:val="clear" w:color="auto" w:fill="FFFFFF"/>
        </w:rPr>
        <w:t>乙方租赁甲方生产经营用地</w:t>
      </w:r>
      <w:r>
        <w:rPr>
          <w:rFonts w:hint="eastAsia" w:ascii="仿宋_GB2312" w:eastAsia="仿宋_GB2312" w:cs="Arial" w:hAnsiTheme="minorEastAsia"/>
          <w:color w:val="000000"/>
          <w:sz w:val="32"/>
          <w:szCs w:val="32"/>
          <w:highlight w:val="none"/>
          <w:shd w:val="clear" w:color="auto" w:fill="FFFFFF"/>
          <w:lang w:eastAsia="zh-CN"/>
        </w:rPr>
        <w:t>后，产生的一切安全事故及风险由乙方承担，由此造成的法律纠纷，甲方概不负责。</w:t>
      </w:r>
    </w:p>
    <w:p>
      <w:pPr>
        <w:widowControl/>
        <w:adjustRightInd w:val="0"/>
        <w:snapToGrid w:val="0"/>
        <w:spacing w:line="360" w:lineRule="auto"/>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二、乙方进行装修、改（扩）建等形式，在施工过程中应做到以下安全要求：</w:t>
      </w:r>
    </w:p>
    <w:p>
      <w:pPr>
        <w:widowControl/>
        <w:adjustRightInd w:val="0"/>
        <w:snapToGrid w:val="0"/>
        <w:spacing w:line="360" w:lineRule="auto"/>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1.乙方在开工前要按照消防部门、规划部门等相关职能部门的管理要求向其申报，保证图纸经消防部门审核合格，待批准并获得相关职能部门批复的有关文件后方可施工。乙方要严格执行有关部门批准后的施工方案，不得擅自更改。施工完成后，并经相关部门验收合格。</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2.乙方负责其租赁区域内的治安、消防等安全工作，乙方负责对进场施工人员进行安全教育培训和防火安全教育，并按照有关标准制定动火、用电、高空作业等施工安全防范措施报甲方备案。</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3.乙方施工的堆料或垃圾不得阻挡消防设施，不得堵塞消防疏散通道，并及时清理垃圾。</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4.甲方在检查中发现施工过程有违反消防安全等相关规定或未按相关规定施工的，有权要求乙方进行整改，乙方拒不整改或整改不到位，甲方有权责令乙方停工，并依据相应的租赁合同条款执行。</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三、违约责任</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1.乙方接受当地公安消防、甲方及相关职能部门的检查、指导，严格执行消防法和其他有关规定。甲方依据相关法律法规及安全责任书以上条款的约定对乙方进行安全监督和检查。甲方在检查中发现乙方违反以上条款约定，或违反消防、治安及其他安全规定的，或构成安全隐患的，甲方有权要求乙方在合理期限内进行整改，乙方应及时积极落实整改。乙方未按要求进行整改，视为乙方违约，甲方有权解除租赁合同，要求乙方承担按照租赁合同的第十条的约定承担违约责任，并承担由此给甲方造成的一切损失赔偿。</w:t>
      </w:r>
    </w:p>
    <w:p>
      <w:pPr>
        <w:widowControl/>
        <w:adjustRightInd w:val="0"/>
        <w:snapToGrid w:val="0"/>
        <w:spacing w:line="360" w:lineRule="auto"/>
        <w:ind w:firstLine="640" w:firstLineChars="200"/>
        <w:jc w:val="left"/>
        <w:rPr>
          <w:rFonts w:hint="eastAsia"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2.</w:t>
      </w:r>
      <w:r>
        <w:rPr>
          <w:rFonts w:hint="eastAsia"/>
        </w:rPr>
        <w:t xml:space="preserve"> </w:t>
      </w:r>
      <w:r>
        <w:rPr>
          <w:rFonts w:hint="eastAsia" w:ascii="仿宋_GB2312" w:eastAsia="仿宋_GB2312" w:cs="Arial" w:hAnsiTheme="minorEastAsia"/>
          <w:color w:val="000000"/>
          <w:sz w:val="32"/>
          <w:szCs w:val="32"/>
          <w:shd w:val="clear" w:color="auto" w:fill="FFFFFF"/>
        </w:rPr>
        <w:t>由于乙方违反安全管理规定或提供的产品、服务、项目、设备、设施等因质量原因造成安全事故，除赔偿甲方相应损失外,甲方有权解除租赁合同，并要求乙方按照租赁合同第十条的约定承担违约责任。</w:t>
      </w:r>
    </w:p>
    <w:p>
      <w:pPr>
        <w:widowControl/>
        <w:adjustRightInd w:val="0"/>
        <w:snapToGrid w:val="0"/>
        <w:spacing w:line="360" w:lineRule="auto"/>
        <w:ind w:firstLine="640" w:firstLineChars="200"/>
        <w:jc w:val="left"/>
        <w:rPr>
          <w:rFonts w:ascii="仿宋_GB2312" w:eastAsia="仿宋_GB2312" w:cs="Arial" w:hAnsiTheme="minorEastAsia"/>
          <w:color w:val="000000"/>
          <w:sz w:val="32"/>
          <w:szCs w:val="32"/>
          <w:shd w:val="clear" w:color="auto" w:fill="FFFFFF"/>
        </w:rPr>
      </w:pP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四、附则</w:t>
      </w:r>
      <w:r>
        <w:rPr>
          <w:rFonts w:hint="eastAsia" w:ascii="仿宋_GB2312" w:eastAsia="仿宋_GB2312" w:cs="Arial" w:hAnsiTheme="minorEastAsia"/>
          <w:color w:val="000000"/>
          <w:sz w:val="32"/>
          <w:szCs w:val="32"/>
        </w:rPr>
        <w:br w:type="textWrapping"/>
      </w:r>
      <w:r>
        <w:rPr>
          <w:rFonts w:hint="eastAsia" w:eastAsia="仿宋_GB2312" w:cs="Arial" w:asciiTheme="minorEastAsia" w:hAnsiTheme="minorEastAsia"/>
          <w:color w:val="000000"/>
          <w:sz w:val="32"/>
          <w:szCs w:val="32"/>
          <w:shd w:val="clear" w:color="auto" w:fill="FFFFFF"/>
        </w:rPr>
        <w:t>  本责任书</w:t>
      </w:r>
      <w:r>
        <w:rPr>
          <w:rFonts w:hint="eastAsia" w:ascii="仿宋_GB2312" w:eastAsia="仿宋_GB2312" w:cs="Arial" w:hAnsiTheme="minorEastAsia"/>
          <w:color w:val="000000"/>
          <w:sz w:val="32"/>
          <w:szCs w:val="32"/>
          <w:shd w:val="clear" w:color="auto" w:fill="FFFFFF"/>
        </w:rPr>
        <w:t>作为租赁合同的附件与租赁合同有同等法律效力。</w:t>
      </w:r>
    </w:p>
    <w:p>
      <w:pPr>
        <w:widowControl/>
        <w:adjustRightInd w:val="0"/>
        <w:snapToGrid w:val="0"/>
        <w:spacing w:line="360" w:lineRule="auto"/>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此安全责任书一式两份，甲、乙双方各执一份，具有相同的法律效力，经双方签字盖章后生效。</w:t>
      </w:r>
    </w:p>
    <w:p>
      <w:pPr>
        <w:widowControl/>
        <w:adjustRightInd w:val="0"/>
        <w:snapToGrid w:val="0"/>
        <w:spacing w:before="100" w:beforeAutospacing="1" w:after="100" w:afterAutospacing="1" w:line="360" w:lineRule="auto"/>
        <w:ind w:firstLine="640" w:firstLineChars="2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rPr>
        <w:br w:type="textWrapping"/>
      </w:r>
      <w:r>
        <w:rPr>
          <w:rFonts w:hint="eastAsia" w:ascii="仿宋_GB2312" w:eastAsia="仿宋_GB2312" w:cs="Arial" w:hAnsiTheme="minorEastAsia"/>
          <w:color w:val="000000"/>
          <w:sz w:val="32"/>
          <w:szCs w:val="32"/>
          <w:shd w:val="clear" w:color="auto" w:fill="FFFFFF"/>
        </w:rPr>
        <w:t xml:space="preserve"> 甲</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方：</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乙</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方：</w:t>
      </w:r>
      <w:r>
        <w:rPr>
          <w:rFonts w:hint="eastAsia" w:ascii="仿宋_GB2312" w:eastAsia="仿宋_GB2312" w:cs="Arial" w:hAnsiTheme="minorEastAsia"/>
          <w:color w:val="000000"/>
          <w:sz w:val="32"/>
          <w:szCs w:val="32"/>
        </w:rPr>
        <w:br w:type="textWrapping"/>
      </w:r>
    </w:p>
    <w:p>
      <w:pPr>
        <w:widowControl/>
        <w:adjustRightInd w:val="0"/>
        <w:snapToGrid w:val="0"/>
        <w:spacing w:before="100" w:beforeAutospacing="1" w:after="100" w:afterAutospacing="1" w:line="360" w:lineRule="auto"/>
        <w:ind w:firstLine="160" w:firstLineChars="5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代</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表：</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代</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表：</w:t>
      </w:r>
      <w:r>
        <w:rPr>
          <w:rFonts w:hint="eastAsia" w:ascii="仿宋_GB2312" w:eastAsia="仿宋_GB2312" w:cs="Arial" w:hAnsiTheme="minorEastAsia"/>
          <w:color w:val="000000"/>
          <w:sz w:val="32"/>
          <w:szCs w:val="32"/>
        </w:rPr>
        <w:br w:type="textWrapping"/>
      </w:r>
      <w:r>
        <w:rPr>
          <w:rFonts w:hint="eastAsia" w:ascii="仿宋_GB2312" w:eastAsia="仿宋_GB2312" w:cs="Arial" w:hAnsiTheme="minorEastAsia"/>
          <w:color w:val="000000"/>
          <w:sz w:val="32"/>
          <w:szCs w:val="32"/>
          <w:shd w:val="clear" w:color="auto" w:fill="FFFFFF"/>
        </w:rPr>
        <w:t xml:space="preserve"> </w:t>
      </w:r>
    </w:p>
    <w:p>
      <w:pPr>
        <w:widowControl/>
        <w:adjustRightInd w:val="0"/>
        <w:snapToGrid w:val="0"/>
        <w:spacing w:before="100" w:beforeAutospacing="1" w:after="100" w:afterAutospacing="1" w:line="360" w:lineRule="auto"/>
        <w:ind w:firstLine="960" w:firstLineChars="300"/>
        <w:jc w:val="left"/>
        <w:rPr>
          <w:rFonts w:ascii="仿宋_GB2312" w:eastAsia="仿宋_GB2312" w:cs="Arial" w:hAnsiTheme="minorEastAsia"/>
          <w:color w:val="000000"/>
          <w:sz w:val="32"/>
          <w:szCs w:val="32"/>
          <w:shd w:val="clear" w:color="auto" w:fill="FFFFFF"/>
        </w:rPr>
      </w:pPr>
      <w:r>
        <w:rPr>
          <w:rFonts w:hint="eastAsia" w:ascii="仿宋_GB2312" w:eastAsia="仿宋_GB2312" w:cs="Arial" w:hAnsiTheme="minorEastAsia"/>
          <w:color w:val="000000"/>
          <w:sz w:val="32"/>
          <w:szCs w:val="32"/>
          <w:shd w:val="clear" w:color="auto" w:fill="FFFFFF"/>
        </w:rPr>
        <w:t>年</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月</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日                 年</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月</w:t>
      </w:r>
      <w:r>
        <w:rPr>
          <w:rFonts w:hint="eastAsia" w:eastAsia="仿宋_GB2312" w:cs="Arial" w:asciiTheme="minorEastAsia" w:hAnsiTheme="minorEastAsia"/>
          <w:color w:val="000000"/>
          <w:sz w:val="32"/>
          <w:szCs w:val="32"/>
          <w:shd w:val="clear" w:color="auto" w:fill="FFFFFF"/>
        </w:rPr>
        <w:t> </w:t>
      </w:r>
      <w:r>
        <w:rPr>
          <w:rFonts w:hint="eastAsia" w:ascii="仿宋_GB2312" w:eastAsia="仿宋_GB2312" w:cs="Arial" w:hAnsiTheme="minorEastAsia"/>
          <w:color w:val="000000"/>
          <w:sz w:val="32"/>
          <w:szCs w:val="32"/>
          <w:shd w:val="clear" w:color="auto" w:fill="FFFFFF"/>
        </w:rPr>
        <w:t xml:space="preserve"> 日</w:t>
      </w:r>
    </w:p>
    <w:p>
      <w:pPr>
        <w:widowControl/>
        <w:adjustRightInd w:val="0"/>
        <w:snapToGrid w:val="0"/>
        <w:spacing w:line="480" w:lineRule="auto"/>
        <w:jc w:val="left"/>
        <w:rPr>
          <w:rFonts w:hint="eastAsia" w:ascii="仿宋_GB2312" w:hAnsi="宋体" w:cs="宋体"/>
          <w:color w:val="auto"/>
          <w:kern w:val="0"/>
          <w:szCs w:val="32"/>
          <w:highlight w:val="none"/>
        </w:rPr>
      </w:pPr>
      <w:bookmarkStart w:id="0" w:name="_GoBack"/>
      <w:bookmarkEnd w:id="0"/>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Songti SC Regular">
    <w:altName w:val="Calibri"/>
    <w:panose1 w:val="00000000000000000000"/>
    <w:charset w:val="50"/>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_GB2312"/>
        <w:sz w:val="28"/>
        <w:szCs w:val="28"/>
      </w:rPr>
    </w:pP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13</w:t>
    </w:r>
    <w:r>
      <w:rPr>
        <w:rFonts w:hint="eastAsia" w:ascii="仿宋_GB2312"/>
        <w:sz w:val="28"/>
        <w:szCs w:val="28"/>
      </w:rPr>
      <w:fldChar w:fldCharType="end"/>
    </w:r>
  </w:p>
  <w:p>
    <w:pPr>
      <w:pStyle w:val="4"/>
      <w:jc w:val="right"/>
      <w:rPr>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29243B"/>
    <w:multiLevelType w:val="multilevel"/>
    <w:tmpl w:val="1B29243B"/>
    <w:lvl w:ilvl="0" w:tentative="0">
      <w:start w:val="1"/>
      <w:numFmt w:val="japaneseCounting"/>
      <w:lvlText w:val="第%1条"/>
      <w:lvlJc w:val="left"/>
      <w:pPr>
        <w:ind w:left="1425" w:hanging="1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I3OWMzZTdiYjUxNjViMWQ4NTFlNjQ0OTIzNDI4OTUifQ=="/>
  </w:docVars>
  <w:rsids>
    <w:rsidRoot w:val="00DF72CD"/>
    <w:rsid w:val="00001394"/>
    <w:rsid w:val="00001690"/>
    <w:rsid w:val="00001E1D"/>
    <w:rsid w:val="000048F7"/>
    <w:rsid w:val="00007FCE"/>
    <w:rsid w:val="000121F9"/>
    <w:rsid w:val="00017478"/>
    <w:rsid w:val="000204F8"/>
    <w:rsid w:val="0002277E"/>
    <w:rsid w:val="0002414D"/>
    <w:rsid w:val="000271C8"/>
    <w:rsid w:val="00030E61"/>
    <w:rsid w:val="00031FE4"/>
    <w:rsid w:val="000321C5"/>
    <w:rsid w:val="00033616"/>
    <w:rsid w:val="0003523D"/>
    <w:rsid w:val="0003557C"/>
    <w:rsid w:val="00035619"/>
    <w:rsid w:val="00037FE4"/>
    <w:rsid w:val="00037FF7"/>
    <w:rsid w:val="000456C1"/>
    <w:rsid w:val="00045C39"/>
    <w:rsid w:val="000509F1"/>
    <w:rsid w:val="00050DB3"/>
    <w:rsid w:val="00061371"/>
    <w:rsid w:val="00066841"/>
    <w:rsid w:val="00070AA4"/>
    <w:rsid w:val="00072453"/>
    <w:rsid w:val="00076A96"/>
    <w:rsid w:val="00076EB1"/>
    <w:rsid w:val="00080F2D"/>
    <w:rsid w:val="00090A43"/>
    <w:rsid w:val="00090AEE"/>
    <w:rsid w:val="000A29D4"/>
    <w:rsid w:val="000A58F8"/>
    <w:rsid w:val="000A769F"/>
    <w:rsid w:val="000B20C1"/>
    <w:rsid w:val="000B7399"/>
    <w:rsid w:val="000B7DFD"/>
    <w:rsid w:val="000C28DE"/>
    <w:rsid w:val="000C5D5F"/>
    <w:rsid w:val="000D1278"/>
    <w:rsid w:val="000D14CF"/>
    <w:rsid w:val="000D6677"/>
    <w:rsid w:val="000E1B57"/>
    <w:rsid w:val="000E21B7"/>
    <w:rsid w:val="000E4426"/>
    <w:rsid w:val="000E44EE"/>
    <w:rsid w:val="000E4B2D"/>
    <w:rsid w:val="000E5799"/>
    <w:rsid w:val="000E6DA5"/>
    <w:rsid w:val="000F092C"/>
    <w:rsid w:val="000F09A7"/>
    <w:rsid w:val="000F51BD"/>
    <w:rsid w:val="000F7F3D"/>
    <w:rsid w:val="001011BC"/>
    <w:rsid w:val="001019D4"/>
    <w:rsid w:val="00111877"/>
    <w:rsid w:val="00114D04"/>
    <w:rsid w:val="00115CE4"/>
    <w:rsid w:val="00115DC3"/>
    <w:rsid w:val="00120E85"/>
    <w:rsid w:val="0012220A"/>
    <w:rsid w:val="00122284"/>
    <w:rsid w:val="00123D51"/>
    <w:rsid w:val="00124671"/>
    <w:rsid w:val="00130B27"/>
    <w:rsid w:val="00131ED5"/>
    <w:rsid w:val="0013566E"/>
    <w:rsid w:val="00136332"/>
    <w:rsid w:val="00137E06"/>
    <w:rsid w:val="001403AE"/>
    <w:rsid w:val="00144677"/>
    <w:rsid w:val="00144BFF"/>
    <w:rsid w:val="0014535A"/>
    <w:rsid w:val="00150038"/>
    <w:rsid w:val="00155C88"/>
    <w:rsid w:val="001571BA"/>
    <w:rsid w:val="001572A4"/>
    <w:rsid w:val="00157C21"/>
    <w:rsid w:val="001610AB"/>
    <w:rsid w:val="001625B3"/>
    <w:rsid w:val="001656EA"/>
    <w:rsid w:val="00172844"/>
    <w:rsid w:val="00184003"/>
    <w:rsid w:val="00184DC4"/>
    <w:rsid w:val="001850D0"/>
    <w:rsid w:val="00194940"/>
    <w:rsid w:val="001979C3"/>
    <w:rsid w:val="001A2E9E"/>
    <w:rsid w:val="001A50FF"/>
    <w:rsid w:val="001A7F55"/>
    <w:rsid w:val="001C26CA"/>
    <w:rsid w:val="001C26E0"/>
    <w:rsid w:val="001C2DC3"/>
    <w:rsid w:val="001C3AE5"/>
    <w:rsid w:val="001C5899"/>
    <w:rsid w:val="001C66F7"/>
    <w:rsid w:val="001C776E"/>
    <w:rsid w:val="001D22D2"/>
    <w:rsid w:val="001D49B5"/>
    <w:rsid w:val="001D5D9A"/>
    <w:rsid w:val="001E0D56"/>
    <w:rsid w:val="001E253A"/>
    <w:rsid w:val="001F1E16"/>
    <w:rsid w:val="001F2562"/>
    <w:rsid w:val="0020742E"/>
    <w:rsid w:val="00210E6E"/>
    <w:rsid w:val="002125D6"/>
    <w:rsid w:val="0021289A"/>
    <w:rsid w:val="0021470C"/>
    <w:rsid w:val="00215612"/>
    <w:rsid w:val="00217C46"/>
    <w:rsid w:val="00226163"/>
    <w:rsid w:val="00227115"/>
    <w:rsid w:val="00237934"/>
    <w:rsid w:val="00237FB6"/>
    <w:rsid w:val="00241A3E"/>
    <w:rsid w:val="002453CE"/>
    <w:rsid w:val="002506DB"/>
    <w:rsid w:val="00261DC9"/>
    <w:rsid w:val="002621C1"/>
    <w:rsid w:val="002648B8"/>
    <w:rsid w:val="002657CA"/>
    <w:rsid w:val="002667AB"/>
    <w:rsid w:val="00266BBA"/>
    <w:rsid w:val="002673F2"/>
    <w:rsid w:val="0027312C"/>
    <w:rsid w:val="0027388A"/>
    <w:rsid w:val="00273983"/>
    <w:rsid w:val="002761B7"/>
    <w:rsid w:val="00277209"/>
    <w:rsid w:val="00277E03"/>
    <w:rsid w:val="00281A29"/>
    <w:rsid w:val="002834CB"/>
    <w:rsid w:val="002837E0"/>
    <w:rsid w:val="0029227A"/>
    <w:rsid w:val="002948B4"/>
    <w:rsid w:val="002976AB"/>
    <w:rsid w:val="002A527C"/>
    <w:rsid w:val="002B2E71"/>
    <w:rsid w:val="002B3222"/>
    <w:rsid w:val="002B5240"/>
    <w:rsid w:val="002B584E"/>
    <w:rsid w:val="002C11EF"/>
    <w:rsid w:val="002C3C33"/>
    <w:rsid w:val="002C4D77"/>
    <w:rsid w:val="002D06C1"/>
    <w:rsid w:val="002D0E14"/>
    <w:rsid w:val="002D1B7F"/>
    <w:rsid w:val="002D271C"/>
    <w:rsid w:val="002D368F"/>
    <w:rsid w:val="002D61B6"/>
    <w:rsid w:val="002E3A92"/>
    <w:rsid w:val="002E6861"/>
    <w:rsid w:val="002F080D"/>
    <w:rsid w:val="002F0DAF"/>
    <w:rsid w:val="00300AD8"/>
    <w:rsid w:val="0030379F"/>
    <w:rsid w:val="00303A9D"/>
    <w:rsid w:val="00306A55"/>
    <w:rsid w:val="00306E22"/>
    <w:rsid w:val="00311848"/>
    <w:rsid w:val="0031406D"/>
    <w:rsid w:val="003143BA"/>
    <w:rsid w:val="00315654"/>
    <w:rsid w:val="00317843"/>
    <w:rsid w:val="00317A22"/>
    <w:rsid w:val="003206B4"/>
    <w:rsid w:val="0032359C"/>
    <w:rsid w:val="00330BE9"/>
    <w:rsid w:val="00330D5A"/>
    <w:rsid w:val="003317B1"/>
    <w:rsid w:val="00333714"/>
    <w:rsid w:val="00334320"/>
    <w:rsid w:val="0034391B"/>
    <w:rsid w:val="003477E8"/>
    <w:rsid w:val="00352321"/>
    <w:rsid w:val="003609CF"/>
    <w:rsid w:val="00363BF7"/>
    <w:rsid w:val="00367F44"/>
    <w:rsid w:val="0037269E"/>
    <w:rsid w:val="00375950"/>
    <w:rsid w:val="00375E72"/>
    <w:rsid w:val="003805A7"/>
    <w:rsid w:val="00381A03"/>
    <w:rsid w:val="00381A05"/>
    <w:rsid w:val="003914E7"/>
    <w:rsid w:val="0039742C"/>
    <w:rsid w:val="003A3947"/>
    <w:rsid w:val="003B0E41"/>
    <w:rsid w:val="003B6D42"/>
    <w:rsid w:val="003B6FA7"/>
    <w:rsid w:val="003C32D6"/>
    <w:rsid w:val="003C4320"/>
    <w:rsid w:val="003D0E80"/>
    <w:rsid w:val="003D21A7"/>
    <w:rsid w:val="003D22EB"/>
    <w:rsid w:val="003E463C"/>
    <w:rsid w:val="003E6A5D"/>
    <w:rsid w:val="004012CA"/>
    <w:rsid w:val="00402086"/>
    <w:rsid w:val="00405BD7"/>
    <w:rsid w:val="00406F6E"/>
    <w:rsid w:val="00410869"/>
    <w:rsid w:val="0041136C"/>
    <w:rsid w:val="00414307"/>
    <w:rsid w:val="0041676B"/>
    <w:rsid w:val="00421BC6"/>
    <w:rsid w:val="0042282F"/>
    <w:rsid w:val="00427464"/>
    <w:rsid w:val="00434A78"/>
    <w:rsid w:val="00434DC3"/>
    <w:rsid w:val="00436700"/>
    <w:rsid w:val="00437AFE"/>
    <w:rsid w:val="004447FC"/>
    <w:rsid w:val="0044563A"/>
    <w:rsid w:val="00447F62"/>
    <w:rsid w:val="004501A7"/>
    <w:rsid w:val="0045033A"/>
    <w:rsid w:val="00454934"/>
    <w:rsid w:val="00455B03"/>
    <w:rsid w:val="00456527"/>
    <w:rsid w:val="00457CC7"/>
    <w:rsid w:val="004641D2"/>
    <w:rsid w:val="00467DF4"/>
    <w:rsid w:val="00470614"/>
    <w:rsid w:val="004730EF"/>
    <w:rsid w:val="004734DD"/>
    <w:rsid w:val="004744F0"/>
    <w:rsid w:val="00474ABF"/>
    <w:rsid w:val="0047763B"/>
    <w:rsid w:val="004807B9"/>
    <w:rsid w:val="00482029"/>
    <w:rsid w:val="00483CD9"/>
    <w:rsid w:val="00485503"/>
    <w:rsid w:val="004859B0"/>
    <w:rsid w:val="0049133D"/>
    <w:rsid w:val="00492ED8"/>
    <w:rsid w:val="00492FC0"/>
    <w:rsid w:val="00493F1A"/>
    <w:rsid w:val="00494938"/>
    <w:rsid w:val="004A2FB4"/>
    <w:rsid w:val="004B0CE5"/>
    <w:rsid w:val="004B30E8"/>
    <w:rsid w:val="004B381C"/>
    <w:rsid w:val="004C1678"/>
    <w:rsid w:val="004C2BF5"/>
    <w:rsid w:val="004C3F0C"/>
    <w:rsid w:val="004C5F26"/>
    <w:rsid w:val="004C6A30"/>
    <w:rsid w:val="004C77FF"/>
    <w:rsid w:val="004D33FF"/>
    <w:rsid w:val="004D464F"/>
    <w:rsid w:val="004D5CEC"/>
    <w:rsid w:val="004D7639"/>
    <w:rsid w:val="004E3905"/>
    <w:rsid w:val="004E3BA7"/>
    <w:rsid w:val="004F1195"/>
    <w:rsid w:val="004F1492"/>
    <w:rsid w:val="004F1D76"/>
    <w:rsid w:val="004F7214"/>
    <w:rsid w:val="005000EC"/>
    <w:rsid w:val="00503E1B"/>
    <w:rsid w:val="00506DF5"/>
    <w:rsid w:val="00507F6E"/>
    <w:rsid w:val="00512344"/>
    <w:rsid w:val="00512A79"/>
    <w:rsid w:val="005148B3"/>
    <w:rsid w:val="00515FB4"/>
    <w:rsid w:val="00516BB6"/>
    <w:rsid w:val="0052414B"/>
    <w:rsid w:val="00524282"/>
    <w:rsid w:val="00526FD4"/>
    <w:rsid w:val="00527A32"/>
    <w:rsid w:val="005311DA"/>
    <w:rsid w:val="00531B59"/>
    <w:rsid w:val="00534F5C"/>
    <w:rsid w:val="005415BF"/>
    <w:rsid w:val="00541AD1"/>
    <w:rsid w:val="005426D4"/>
    <w:rsid w:val="00543040"/>
    <w:rsid w:val="00545ED3"/>
    <w:rsid w:val="00546840"/>
    <w:rsid w:val="005537E8"/>
    <w:rsid w:val="00560F02"/>
    <w:rsid w:val="005623A1"/>
    <w:rsid w:val="0057098D"/>
    <w:rsid w:val="00572F50"/>
    <w:rsid w:val="00576EED"/>
    <w:rsid w:val="00580786"/>
    <w:rsid w:val="00581FB5"/>
    <w:rsid w:val="005856BA"/>
    <w:rsid w:val="005916E8"/>
    <w:rsid w:val="00594657"/>
    <w:rsid w:val="00594F83"/>
    <w:rsid w:val="00597AD2"/>
    <w:rsid w:val="005A2950"/>
    <w:rsid w:val="005B3EED"/>
    <w:rsid w:val="005B719F"/>
    <w:rsid w:val="005C17BC"/>
    <w:rsid w:val="005C1981"/>
    <w:rsid w:val="005C3AF5"/>
    <w:rsid w:val="005C7D23"/>
    <w:rsid w:val="005D13F7"/>
    <w:rsid w:val="005D2F7E"/>
    <w:rsid w:val="005D6D67"/>
    <w:rsid w:val="005E019A"/>
    <w:rsid w:val="005E2511"/>
    <w:rsid w:val="005E2C6A"/>
    <w:rsid w:val="005E34AE"/>
    <w:rsid w:val="005E675E"/>
    <w:rsid w:val="005F575F"/>
    <w:rsid w:val="005F72D4"/>
    <w:rsid w:val="006006AE"/>
    <w:rsid w:val="00605302"/>
    <w:rsid w:val="006075EB"/>
    <w:rsid w:val="00614625"/>
    <w:rsid w:val="006162FE"/>
    <w:rsid w:val="006173D8"/>
    <w:rsid w:val="0062031E"/>
    <w:rsid w:val="00623468"/>
    <w:rsid w:val="0062446C"/>
    <w:rsid w:val="0062751F"/>
    <w:rsid w:val="00631B6E"/>
    <w:rsid w:val="00633F67"/>
    <w:rsid w:val="00634B9F"/>
    <w:rsid w:val="006419B8"/>
    <w:rsid w:val="00641E86"/>
    <w:rsid w:val="00650A81"/>
    <w:rsid w:val="006558BF"/>
    <w:rsid w:val="00655B61"/>
    <w:rsid w:val="00660F9E"/>
    <w:rsid w:val="00663698"/>
    <w:rsid w:val="00666BB6"/>
    <w:rsid w:val="006677FB"/>
    <w:rsid w:val="0067526B"/>
    <w:rsid w:val="006762FF"/>
    <w:rsid w:val="00676B00"/>
    <w:rsid w:val="00680BAA"/>
    <w:rsid w:val="006815E2"/>
    <w:rsid w:val="006819E2"/>
    <w:rsid w:val="00681D78"/>
    <w:rsid w:val="00685598"/>
    <w:rsid w:val="00692682"/>
    <w:rsid w:val="00693246"/>
    <w:rsid w:val="00693A22"/>
    <w:rsid w:val="00694434"/>
    <w:rsid w:val="00695058"/>
    <w:rsid w:val="00697CFA"/>
    <w:rsid w:val="006A759B"/>
    <w:rsid w:val="006B1AD4"/>
    <w:rsid w:val="006B23E9"/>
    <w:rsid w:val="006B3FCA"/>
    <w:rsid w:val="006B545D"/>
    <w:rsid w:val="006B5EF9"/>
    <w:rsid w:val="006C45A4"/>
    <w:rsid w:val="006C5AEB"/>
    <w:rsid w:val="006C6987"/>
    <w:rsid w:val="006D182E"/>
    <w:rsid w:val="006D4FE2"/>
    <w:rsid w:val="006D673E"/>
    <w:rsid w:val="006E0900"/>
    <w:rsid w:val="006E4092"/>
    <w:rsid w:val="006E6FD1"/>
    <w:rsid w:val="006E7302"/>
    <w:rsid w:val="006E7EEB"/>
    <w:rsid w:val="006E7F23"/>
    <w:rsid w:val="006F0968"/>
    <w:rsid w:val="006F355F"/>
    <w:rsid w:val="006F51B6"/>
    <w:rsid w:val="0070058A"/>
    <w:rsid w:val="00705962"/>
    <w:rsid w:val="00706C23"/>
    <w:rsid w:val="007078C0"/>
    <w:rsid w:val="00711B1C"/>
    <w:rsid w:val="007121F2"/>
    <w:rsid w:val="00717AB0"/>
    <w:rsid w:val="00720113"/>
    <w:rsid w:val="00720896"/>
    <w:rsid w:val="00720F82"/>
    <w:rsid w:val="007256B2"/>
    <w:rsid w:val="0073503A"/>
    <w:rsid w:val="00735151"/>
    <w:rsid w:val="0073656C"/>
    <w:rsid w:val="00736DB6"/>
    <w:rsid w:val="00740CBB"/>
    <w:rsid w:val="00743F3C"/>
    <w:rsid w:val="00743F73"/>
    <w:rsid w:val="007453CD"/>
    <w:rsid w:val="00747753"/>
    <w:rsid w:val="00750530"/>
    <w:rsid w:val="00751701"/>
    <w:rsid w:val="00752CF6"/>
    <w:rsid w:val="00754F29"/>
    <w:rsid w:val="007551AD"/>
    <w:rsid w:val="00756146"/>
    <w:rsid w:val="00757B3F"/>
    <w:rsid w:val="00760388"/>
    <w:rsid w:val="00762C59"/>
    <w:rsid w:val="00764359"/>
    <w:rsid w:val="00765325"/>
    <w:rsid w:val="00766514"/>
    <w:rsid w:val="007723E1"/>
    <w:rsid w:val="007728A6"/>
    <w:rsid w:val="0077300A"/>
    <w:rsid w:val="00782A0A"/>
    <w:rsid w:val="00785818"/>
    <w:rsid w:val="007869B5"/>
    <w:rsid w:val="007921F8"/>
    <w:rsid w:val="0079312F"/>
    <w:rsid w:val="007954CA"/>
    <w:rsid w:val="007A043C"/>
    <w:rsid w:val="007A0DC2"/>
    <w:rsid w:val="007A16FD"/>
    <w:rsid w:val="007A57AF"/>
    <w:rsid w:val="007B0741"/>
    <w:rsid w:val="007B31DF"/>
    <w:rsid w:val="007B382C"/>
    <w:rsid w:val="007B3DD4"/>
    <w:rsid w:val="007B5FB5"/>
    <w:rsid w:val="007C131B"/>
    <w:rsid w:val="007C13E3"/>
    <w:rsid w:val="007D0B4E"/>
    <w:rsid w:val="007D11A5"/>
    <w:rsid w:val="007D3BD3"/>
    <w:rsid w:val="007D4360"/>
    <w:rsid w:val="007D6C8B"/>
    <w:rsid w:val="007D6DCB"/>
    <w:rsid w:val="007E11A8"/>
    <w:rsid w:val="007E2614"/>
    <w:rsid w:val="007E2C1D"/>
    <w:rsid w:val="007E4692"/>
    <w:rsid w:val="007E74C9"/>
    <w:rsid w:val="007F221C"/>
    <w:rsid w:val="007F3C23"/>
    <w:rsid w:val="007F524D"/>
    <w:rsid w:val="007F5360"/>
    <w:rsid w:val="007F7EC3"/>
    <w:rsid w:val="008004F5"/>
    <w:rsid w:val="00801519"/>
    <w:rsid w:val="008063A1"/>
    <w:rsid w:val="00814B54"/>
    <w:rsid w:val="0081668E"/>
    <w:rsid w:val="00820477"/>
    <w:rsid w:val="00821773"/>
    <w:rsid w:val="00823EAE"/>
    <w:rsid w:val="00825076"/>
    <w:rsid w:val="008253AE"/>
    <w:rsid w:val="008256BE"/>
    <w:rsid w:val="00826E85"/>
    <w:rsid w:val="008279AF"/>
    <w:rsid w:val="00830A1B"/>
    <w:rsid w:val="0083227F"/>
    <w:rsid w:val="00833E86"/>
    <w:rsid w:val="00835BB2"/>
    <w:rsid w:val="00837A15"/>
    <w:rsid w:val="00842114"/>
    <w:rsid w:val="00846F04"/>
    <w:rsid w:val="00847D2E"/>
    <w:rsid w:val="00851791"/>
    <w:rsid w:val="00853E7D"/>
    <w:rsid w:val="008551A3"/>
    <w:rsid w:val="008563D7"/>
    <w:rsid w:val="00857246"/>
    <w:rsid w:val="008618E7"/>
    <w:rsid w:val="00864179"/>
    <w:rsid w:val="00867DF8"/>
    <w:rsid w:val="00870C84"/>
    <w:rsid w:val="00870E18"/>
    <w:rsid w:val="00880194"/>
    <w:rsid w:val="00880758"/>
    <w:rsid w:val="00887CC8"/>
    <w:rsid w:val="008920AE"/>
    <w:rsid w:val="00893484"/>
    <w:rsid w:val="00896278"/>
    <w:rsid w:val="00897898"/>
    <w:rsid w:val="00897A5A"/>
    <w:rsid w:val="008A28E5"/>
    <w:rsid w:val="008A4257"/>
    <w:rsid w:val="008B79B6"/>
    <w:rsid w:val="008C13CE"/>
    <w:rsid w:val="008C5952"/>
    <w:rsid w:val="008C5C06"/>
    <w:rsid w:val="008D26B3"/>
    <w:rsid w:val="008D458A"/>
    <w:rsid w:val="008D4A67"/>
    <w:rsid w:val="008D4E41"/>
    <w:rsid w:val="008D588E"/>
    <w:rsid w:val="008D7E9A"/>
    <w:rsid w:val="008E0B19"/>
    <w:rsid w:val="008E1946"/>
    <w:rsid w:val="008E1B5A"/>
    <w:rsid w:val="008E20CA"/>
    <w:rsid w:val="008E3DD6"/>
    <w:rsid w:val="008E50FB"/>
    <w:rsid w:val="008E7079"/>
    <w:rsid w:val="008F0610"/>
    <w:rsid w:val="008F2180"/>
    <w:rsid w:val="008F4A1F"/>
    <w:rsid w:val="008F6F2A"/>
    <w:rsid w:val="00903C4D"/>
    <w:rsid w:val="00904B9C"/>
    <w:rsid w:val="00906251"/>
    <w:rsid w:val="00907496"/>
    <w:rsid w:val="00907F34"/>
    <w:rsid w:val="0091297C"/>
    <w:rsid w:val="00913284"/>
    <w:rsid w:val="0091516B"/>
    <w:rsid w:val="0091616F"/>
    <w:rsid w:val="00922C99"/>
    <w:rsid w:val="00924BBA"/>
    <w:rsid w:val="009337C3"/>
    <w:rsid w:val="00936BFF"/>
    <w:rsid w:val="009418B9"/>
    <w:rsid w:val="00942183"/>
    <w:rsid w:val="009501B2"/>
    <w:rsid w:val="009507F2"/>
    <w:rsid w:val="00951236"/>
    <w:rsid w:val="009513A0"/>
    <w:rsid w:val="00956917"/>
    <w:rsid w:val="00956972"/>
    <w:rsid w:val="0096008A"/>
    <w:rsid w:val="00960C19"/>
    <w:rsid w:val="00960E8F"/>
    <w:rsid w:val="009612CE"/>
    <w:rsid w:val="0096232F"/>
    <w:rsid w:val="0096605C"/>
    <w:rsid w:val="0096682E"/>
    <w:rsid w:val="00970BD2"/>
    <w:rsid w:val="0097306E"/>
    <w:rsid w:val="00973704"/>
    <w:rsid w:val="009749E8"/>
    <w:rsid w:val="00974C94"/>
    <w:rsid w:val="009759C8"/>
    <w:rsid w:val="0097635E"/>
    <w:rsid w:val="00980AF2"/>
    <w:rsid w:val="009814C1"/>
    <w:rsid w:val="009822FD"/>
    <w:rsid w:val="009835FB"/>
    <w:rsid w:val="00983D0E"/>
    <w:rsid w:val="009901FF"/>
    <w:rsid w:val="009919BF"/>
    <w:rsid w:val="009924F8"/>
    <w:rsid w:val="00993325"/>
    <w:rsid w:val="00993CF8"/>
    <w:rsid w:val="0099563A"/>
    <w:rsid w:val="009A0139"/>
    <w:rsid w:val="009A08C5"/>
    <w:rsid w:val="009A60AD"/>
    <w:rsid w:val="009A6E0C"/>
    <w:rsid w:val="009A7AE5"/>
    <w:rsid w:val="009B096F"/>
    <w:rsid w:val="009B0A70"/>
    <w:rsid w:val="009B617B"/>
    <w:rsid w:val="009B77E9"/>
    <w:rsid w:val="009C50EB"/>
    <w:rsid w:val="009C5324"/>
    <w:rsid w:val="009C7547"/>
    <w:rsid w:val="009C770E"/>
    <w:rsid w:val="009D069A"/>
    <w:rsid w:val="009D1ED6"/>
    <w:rsid w:val="009D234F"/>
    <w:rsid w:val="009D334A"/>
    <w:rsid w:val="009D4E60"/>
    <w:rsid w:val="009E28C3"/>
    <w:rsid w:val="009E46E8"/>
    <w:rsid w:val="009E47E6"/>
    <w:rsid w:val="009F00D3"/>
    <w:rsid w:val="009F4793"/>
    <w:rsid w:val="00A06C2E"/>
    <w:rsid w:val="00A13B4D"/>
    <w:rsid w:val="00A16CDF"/>
    <w:rsid w:val="00A1752B"/>
    <w:rsid w:val="00A17864"/>
    <w:rsid w:val="00A22331"/>
    <w:rsid w:val="00A239AC"/>
    <w:rsid w:val="00A27D42"/>
    <w:rsid w:val="00A326AB"/>
    <w:rsid w:val="00A33DA5"/>
    <w:rsid w:val="00A34D2B"/>
    <w:rsid w:val="00A34EB4"/>
    <w:rsid w:val="00A3522E"/>
    <w:rsid w:val="00A35951"/>
    <w:rsid w:val="00A3651B"/>
    <w:rsid w:val="00A402DA"/>
    <w:rsid w:val="00A40690"/>
    <w:rsid w:val="00A4193F"/>
    <w:rsid w:val="00A441F1"/>
    <w:rsid w:val="00A46CFD"/>
    <w:rsid w:val="00A52D10"/>
    <w:rsid w:val="00A60AE8"/>
    <w:rsid w:val="00A60D55"/>
    <w:rsid w:val="00A6367A"/>
    <w:rsid w:val="00A65E11"/>
    <w:rsid w:val="00A76DD9"/>
    <w:rsid w:val="00A80910"/>
    <w:rsid w:val="00A81EEC"/>
    <w:rsid w:val="00A8551C"/>
    <w:rsid w:val="00A85D5E"/>
    <w:rsid w:val="00A867D8"/>
    <w:rsid w:val="00A86FB6"/>
    <w:rsid w:val="00A94763"/>
    <w:rsid w:val="00A96330"/>
    <w:rsid w:val="00AA33F7"/>
    <w:rsid w:val="00AA398A"/>
    <w:rsid w:val="00AA3D3D"/>
    <w:rsid w:val="00AA4363"/>
    <w:rsid w:val="00AA46C5"/>
    <w:rsid w:val="00AA5B71"/>
    <w:rsid w:val="00AB5E24"/>
    <w:rsid w:val="00AB79C9"/>
    <w:rsid w:val="00AB7F5A"/>
    <w:rsid w:val="00AC0173"/>
    <w:rsid w:val="00AC0985"/>
    <w:rsid w:val="00AC35F5"/>
    <w:rsid w:val="00AC3E16"/>
    <w:rsid w:val="00AC42DE"/>
    <w:rsid w:val="00AD115B"/>
    <w:rsid w:val="00AD1B2D"/>
    <w:rsid w:val="00AD2427"/>
    <w:rsid w:val="00AD26DA"/>
    <w:rsid w:val="00AD621C"/>
    <w:rsid w:val="00AD7B80"/>
    <w:rsid w:val="00AE08BE"/>
    <w:rsid w:val="00AE2D10"/>
    <w:rsid w:val="00AE4821"/>
    <w:rsid w:val="00AE6DE2"/>
    <w:rsid w:val="00AE754B"/>
    <w:rsid w:val="00AF793A"/>
    <w:rsid w:val="00AF7AC2"/>
    <w:rsid w:val="00B01B93"/>
    <w:rsid w:val="00B03590"/>
    <w:rsid w:val="00B07EA6"/>
    <w:rsid w:val="00B10A4B"/>
    <w:rsid w:val="00B1246B"/>
    <w:rsid w:val="00B12D10"/>
    <w:rsid w:val="00B13AAD"/>
    <w:rsid w:val="00B1578E"/>
    <w:rsid w:val="00B1588C"/>
    <w:rsid w:val="00B21BC3"/>
    <w:rsid w:val="00B304E2"/>
    <w:rsid w:val="00B360F5"/>
    <w:rsid w:val="00B36239"/>
    <w:rsid w:val="00B3755D"/>
    <w:rsid w:val="00B37FA7"/>
    <w:rsid w:val="00B40675"/>
    <w:rsid w:val="00B4246D"/>
    <w:rsid w:val="00B433CC"/>
    <w:rsid w:val="00B43B50"/>
    <w:rsid w:val="00B46430"/>
    <w:rsid w:val="00B53448"/>
    <w:rsid w:val="00B554D3"/>
    <w:rsid w:val="00B64298"/>
    <w:rsid w:val="00B65ECA"/>
    <w:rsid w:val="00B676A1"/>
    <w:rsid w:val="00B72756"/>
    <w:rsid w:val="00B72C03"/>
    <w:rsid w:val="00B7432C"/>
    <w:rsid w:val="00B762EC"/>
    <w:rsid w:val="00B81023"/>
    <w:rsid w:val="00B846FC"/>
    <w:rsid w:val="00B90C20"/>
    <w:rsid w:val="00B92C42"/>
    <w:rsid w:val="00B96DEA"/>
    <w:rsid w:val="00BA038C"/>
    <w:rsid w:val="00BA301C"/>
    <w:rsid w:val="00BA403A"/>
    <w:rsid w:val="00BB11DF"/>
    <w:rsid w:val="00BC03BF"/>
    <w:rsid w:val="00BC4B1E"/>
    <w:rsid w:val="00BC7CB3"/>
    <w:rsid w:val="00BD2A94"/>
    <w:rsid w:val="00BD7E55"/>
    <w:rsid w:val="00BE0A22"/>
    <w:rsid w:val="00BE20C4"/>
    <w:rsid w:val="00BE2522"/>
    <w:rsid w:val="00BE72B1"/>
    <w:rsid w:val="00BF432F"/>
    <w:rsid w:val="00BF67E3"/>
    <w:rsid w:val="00C020A1"/>
    <w:rsid w:val="00C023CF"/>
    <w:rsid w:val="00C02837"/>
    <w:rsid w:val="00C033EC"/>
    <w:rsid w:val="00C03B9C"/>
    <w:rsid w:val="00C11341"/>
    <w:rsid w:val="00C11E67"/>
    <w:rsid w:val="00C166B0"/>
    <w:rsid w:val="00C22B6C"/>
    <w:rsid w:val="00C23DB0"/>
    <w:rsid w:val="00C260F1"/>
    <w:rsid w:val="00C262F1"/>
    <w:rsid w:val="00C3166C"/>
    <w:rsid w:val="00C348E1"/>
    <w:rsid w:val="00C34CFC"/>
    <w:rsid w:val="00C433CA"/>
    <w:rsid w:val="00C50820"/>
    <w:rsid w:val="00C6147B"/>
    <w:rsid w:val="00C63942"/>
    <w:rsid w:val="00C67E03"/>
    <w:rsid w:val="00C7439B"/>
    <w:rsid w:val="00C76699"/>
    <w:rsid w:val="00C77118"/>
    <w:rsid w:val="00C81BEA"/>
    <w:rsid w:val="00C83D0D"/>
    <w:rsid w:val="00C857E4"/>
    <w:rsid w:val="00C86CDF"/>
    <w:rsid w:val="00C901DF"/>
    <w:rsid w:val="00C9447F"/>
    <w:rsid w:val="00C9585E"/>
    <w:rsid w:val="00CA063F"/>
    <w:rsid w:val="00CA17C3"/>
    <w:rsid w:val="00CB35D8"/>
    <w:rsid w:val="00CB605A"/>
    <w:rsid w:val="00CB7D87"/>
    <w:rsid w:val="00CC10CE"/>
    <w:rsid w:val="00CC5B58"/>
    <w:rsid w:val="00CD5D21"/>
    <w:rsid w:val="00CE0F9C"/>
    <w:rsid w:val="00CE2536"/>
    <w:rsid w:val="00CE4980"/>
    <w:rsid w:val="00CF02E7"/>
    <w:rsid w:val="00CF240C"/>
    <w:rsid w:val="00CF4B2A"/>
    <w:rsid w:val="00D0048A"/>
    <w:rsid w:val="00D00FE8"/>
    <w:rsid w:val="00D043E9"/>
    <w:rsid w:val="00D05F7A"/>
    <w:rsid w:val="00D07C69"/>
    <w:rsid w:val="00D10A98"/>
    <w:rsid w:val="00D1586A"/>
    <w:rsid w:val="00D16F4B"/>
    <w:rsid w:val="00D21BB5"/>
    <w:rsid w:val="00D23A67"/>
    <w:rsid w:val="00D27180"/>
    <w:rsid w:val="00D3452A"/>
    <w:rsid w:val="00D40C86"/>
    <w:rsid w:val="00D40F48"/>
    <w:rsid w:val="00D46706"/>
    <w:rsid w:val="00D531F7"/>
    <w:rsid w:val="00D53C9A"/>
    <w:rsid w:val="00D54E6D"/>
    <w:rsid w:val="00D5681F"/>
    <w:rsid w:val="00D64084"/>
    <w:rsid w:val="00D67C38"/>
    <w:rsid w:val="00D75A42"/>
    <w:rsid w:val="00D82F2F"/>
    <w:rsid w:val="00D929C3"/>
    <w:rsid w:val="00D937AE"/>
    <w:rsid w:val="00DA251D"/>
    <w:rsid w:val="00DA297C"/>
    <w:rsid w:val="00DA7E75"/>
    <w:rsid w:val="00DB2715"/>
    <w:rsid w:val="00DB574A"/>
    <w:rsid w:val="00DC155E"/>
    <w:rsid w:val="00DC1AB1"/>
    <w:rsid w:val="00DC3B0E"/>
    <w:rsid w:val="00DC7797"/>
    <w:rsid w:val="00DD04F6"/>
    <w:rsid w:val="00DD0690"/>
    <w:rsid w:val="00DD14A8"/>
    <w:rsid w:val="00DD1503"/>
    <w:rsid w:val="00DE01F6"/>
    <w:rsid w:val="00DE1502"/>
    <w:rsid w:val="00DE63FD"/>
    <w:rsid w:val="00DE66B7"/>
    <w:rsid w:val="00DE7BC1"/>
    <w:rsid w:val="00DE7FEC"/>
    <w:rsid w:val="00DF32A6"/>
    <w:rsid w:val="00DF3A09"/>
    <w:rsid w:val="00DF72CD"/>
    <w:rsid w:val="00E02073"/>
    <w:rsid w:val="00E05E33"/>
    <w:rsid w:val="00E06744"/>
    <w:rsid w:val="00E114DE"/>
    <w:rsid w:val="00E128F7"/>
    <w:rsid w:val="00E161FB"/>
    <w:rsid w:val="00E2063F"/>
    <w:rsid w:val="00E216D4"/>
    <w:rsid w:val="00E21E48"/>
    <w:rsid w:val="00E26CF0"/>
    <w:rsid w:val="00E27482"/>
    <w:rsid w:val="00E37080"/>
    <w:rsid w:val="00E51C71"/>
    <w:rsid w:val="00E521E8"/>
    <w:rsid w:val="00E5274F"/>
    <w:rsid w:val="00E5558D"/>
    <w:rsid w:val="00E63708"/>
    <w:rsid w:val="00E64383"/>
    <w:rsid w:val="00E6482A"/>
    <w:rsid w:val="00E64B50"/>
    <w:rsid w:val="00E6560D"/>
    <w:rsid w:val="00E65B70"/>
    <w:rsid w:val="00E72C52"/>
    <w:rsid w:val="00E72CCF"/>
    <w:rsid w:val="00E77362"/>
    <w:rsid w:val="00E86B3B"/>
    <w:rsid w:val="00E9263E"/>
    <w:rsid w:val="00E928B8"/>
    <w:rsid w:val="00E93231"/>
    <w:rsid w:val="00E95C0A"/>
    <w:rsid w:val="00E95FAA"/>
    <w:rsid w:val="00E9607C"/>
    <w:rsid w:val="00EA2003"/>
    <w:rsid w:val="00EA4BB4"/>
    <w:rsid w:val="00EB3A9F"/>
    <w:rsid w:val="00EB51C7"/>
    <w:rsid w:val="00EB639F"/>
    <w:rsid w:val="00EC143C"/>
    <w:rsid w:val="00EC412A"/>
    <w:rsid w:val="00EC6096"/>
    <w:rsid w:val="00EC6C40"/>
    <w:rsid w:val="00ED14B8"/>
    <w:rsid w:val="00ED2756"/>
    <w:rsid w:val="00ED3F29"/>
    <w:rsid w:val="00ED7668"/>
    <w:rsid w:val="00EE2CB9"/>
    <w:rsid w:val="00EE3696"/>
    <w:rsid w:val="00EE66D9"/>
    <w:rsid w:val="00EE6755"/>
    <w:rsid w:val="00EE7CEB"/>
    <w:rsid w:val="00EF3AD2"/>
    <w:rsid w:val="00F02A0A"/>
    <w:rsid w:val="00F035AC"/>
    <w:rsid w:val="00F035E0"/>
    <w:rsid w:val="00F0679F"/>
    <w:rsid w:val="00F11D8F"/>
    <w:rsid w:val="00F11F75"/>
    <w:rsid w:val="00F20527"/>
    <w:rsid w:val="00F20985"/>
    <w:rsid w:val="00F370AB"/>
    <w:rsid w:val="00F40FF5"/>
    <w:rsid w:val="00F417BD"/>
    <w:rsid w:val="00F41C07"/>
    <w:rsid w:val="00F42974"/>
    <w:rsid w:val="00F43E06"/>
    <w:rsid w:val="00F4488D"/>
    <w:rsid w:val="00F4530B"/>
    <w:rsid w:val="00F479FD"/>
    <w:rsid w:val="00F541B7"/>
    <w:rsid w:val="00F56859"/>
    <w:rsid w:val="00F56EC6"/>
    <w:rsid w:val="00F614EF"/>
    <w:rsid w:val="00F65B2A"/>
    <w:rsid w:val="00F66CEE"/>
    <w:rsid w:val="00F67770"/>
    <w:rsid w:val="00F70427"/>
    <w:rsid w:val="00F711D4"/>
    <w:rsid w:val="00F713E4"/>
    <w:rsid w:val="00F71911"/>
    <w:rsid w:val="00F71B9D"/>
    <w:rsid w:val="00F73AE7"/>
    <w:rsid w:val="00F7411C"/>
    <w:rsid w:val="00F75A23"/>
    <w:rsid w:val="00F765A0"/>
    <w:rsid w:val="00F806F7"/>
    <w:rsid w:val="00F814C4"/>
    <w:rsid w:val="00F83456"/>
    <w:rsid w:val="00F84E9D"/>
    <w:rsid w:val="00F86A07"/>
    <w:rsid w:val="00F86AF5"/>
    <w:rsid w:val="00F91788"/>
    <w:rsid w:val="00F95BF6"/>
    <w:rsid w:val="00F97742"/>
    <w:rsid w:val="00FA0502"/>
    <w:rsid w:val="00FA0C7E"/>
    <w:rsid w:val="00FA1C76"/>
    <w:rsid w:val="00FA6211"/>
    <w:rsid w:val="00FB0A2B"/>
    <w:rsid w:val="00FB54C1"/>
    <w:rsid w:val="00FC0D1F"/>
    <w:rsid w:val="00FC2A90"/>
    <w:rsid w:val="00FC2BE5"/>
    <w:rsid w:val="00FC3DDE"/>
    <w:rsid w:val="00FC47AA"/>
    <w:rsid w:val="00FD09CE"/>
    <w:rsid w:val="00FD3A0C"/>
    <w:rsid w:val="00FE10A0"/>
    <w:rsid w:val="00FE23D8"/>
    <w:rsid w:val="00FE5993"/>
    <w:rsid w:val="00FE7CD6"/>
    <w:rsid w:val="00FF1785"/>
    <w:rsid w:val="00FF64B3"/>
    <w:rsid w:val="021276E1"/>
    <w:rsid w:val="06F80EB2"/>
    <w:rsid w:val="0B560E5F"/>
    <w:rsid w:val="10F01E85"/>
    <w:rsid w:val="19277601"/>
    <w:rsid w:val="24A01F36"/>
    <w:rsid w:val="27B87D50"/>
    <w:rsid w:val="297D5593"/>
    <w:rsid w:val="2C6A7A6B"/>
    <w:rsid w:val="31176D8F"/>
    <w:rsid w:val="360C62D3"/>
    <w:rsid w:val="37BC5AD7"/>
    <w:rsid w:val="41C17A3A"/>
    <w:rsid w:val="575F76B1"/>
    <w:rsid w:val="5B845A8C"/>
    <w:rsid w:val="5E1647BD"/>
    <w:rsid w:val="60681AA9"/>
    <w:rsid w:val="62F53596"/>
    <w:rsid w:val="6B301D93"/>
    <w:rsid w:val="6D266771"/>
    <w:rsid w:val="7A096B2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iPriority w:val="0"/>
    <w:pPr>
      <w:jc w:val="left"/>
    </w:pPr>
  </w:style>
  <w:style w:type="paragraph" w:styleId="3">
    <w:name w:val="Balloon Text"/>
    <w:basedOn w:val="1"/>
    <w:link w:val="14"/>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qFormat/>
    <w:uiPriority w:val="0"/>
    <w:rPr>
      <w:b/>
      <w:bCs/>
    </w:rPr>
  </w:style>
  <w:style w:type="character" w:styleId="9">
    <w:name w:val="annotation reference"/>
    <w:basedOn w:val="8"/>
    <w:qFormat/>
    <w:uiPriority w:val="0"/>
    <w:rPr>
      <w:sz w:val="21"/>
      <w:szCs w:val="21"/>
    </w:rPr>
  </w:style>
  <w:style w:type="character" w:customStyle="1" w:styleId="10">
    <w:name w:val="页眉 Char"/>
    <w:basedOn w:val="8"/>
    <w:link w:val="5"/>
    <w:qFormat/>
    <w:uiPriority w:val="0"/>
    <w:rPr>
      <w:rFonts w:eastAsia="仿宋_GB2312"/>
      <w:kern w:val="2"/>
      <w:sz w:val="18"/>
      <w:szCs w:val="18"/>
    </w:rPr>
  </w:style>
  <w:style w:type="character" w:customStyle="1" w:styleId="11">
    <w:name w:val="页脚 Char"/>
    <w:basedOn w:val="8"/>
    <w:link w:val="4"/>
    <w:qFormat/>
    <w:uiPriority w:val="99"/>
    <w:rPr>
      <w:rFonts w:eastAsia="仿宋_GB2312"/>
      <w:kern w:val="2"/>
      <w:sz w:val="18"/>
      <w:szCs w:val="18"/>
    </w:rPr>
  </w:style>
  <w:style w:type="character" w:customStyle="1" w:styleId="12">
    <w:name w:val="批注文字 Char"/>
    <w:basedOn w:val="8"/>
    <w:link w:val="2"/>
    <w:qFormat/>
    <w:uiPriority w:val="0"/>
    <w:rPr>
      <w:rFonts w:eastAsia="仿宋_GB2312"/>
      <w:kern w:val="2"/>
      <w:sz w:val="32"/>
      <w:szCs w:val="24"/>
    </w:rPr>
  </w:style>
  <w:style w:type="character" w:customStyle="1" w:styleId="13">
    <w:name w:val="批注主题 Char"/>
    <w:basedOn w:val="12"/>
    <w:link w:val="6"/>
    <w:qFormat/>
    <w:uiPriority w:val="0"/>
    <w:rPr>
      <w:rFonts w:eastAsia="仿宋_GB2312"/>
      <w:b/>
      <w:bCs/>
      <w:kern w:val="2"/>
      <w:sz w:val="32"/>
      <w:szCs w:val="24"/>
    </w:rPr>
  </w:style>
  <w:style w:type="character" w:customStyle="1" w:styleId="14">
    <w:name w:val="批注框文本 Char"/>
    <w:basedOn w:val="8"/>
    <w:link w:val="3"/>
    <w:qFormat/>
    <w:uiPriority w:val="0"/>
    <w:rPr>
      <w:rFonts w:eastAsia="仿宋_GB2312"/>
      <w:kern w:val="2"/>
      <w:sz w:val="18"/>
      <w:szCs w:val="18"/>
    </w:rPr>
  </w:style>
  <w:style w:type="paragraph" w:customStyle="1" w:styleId="15">
    <w:name w:val="Revision"/>
    <w:hidden/>
    <w:semiHidden/>
    <w:qFormat/>
    <w:uiPriority w:val="99"/>
    <w:rPr>
      <w:rFonts w:ascii="Times New Roman" w:hAnsi="Times New Roman" w:eastAsia="仿宋_GB2312" w:cs="Times New Roman"/>
      <w:kern w:val="2"/>
      <w:sz w:val="32"/>
      <w:szCs w:val="24"/>
      <w:lang w:val="en-US" w:eastAsia="zh-CN"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66E470-1E55-49D2-86D0-DFE866C4DA5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5969</Words>
  <Characters>6120</Characters>
  <Lines>48</Lines>
  <Paragraphs>13</Paragraphs>
  <TotalTime>0</TotalTime>
  <ScaleCrop>false</ScaleCrop>
  <LinksUpToDate>false</LinksUpToDate>
  <CharactersWithSpaces>6775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2018-10-16T08:07:00Z</dcterms:created>
  <dc:creator>陈瑞华(chenrh)/nbjbq</dc:creator>
  <cp:lastModifiedBy>Philips</cp:lastModifiedBy>
  <cp:lastPrinted>2022-05-10T04:17:00Z</cp:lastPrinted>
  <dcterms:modified xsi:type="dcterms:W3CDTF">2022-05-11T09:13:14Z</dcterms:modified>
  <cp:revision>1189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8E08F96078F848EB8ACE30721F15BD2F</vt:lpwstr>
  </property>
</Properties>
</file>