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sz w:val="44"/>
          <w:szCs w:val="44"/>
        </w:rPr>
      </w:pPr>
      <w:r>
        <w:rPr>
          <w:rFonts w:hint="eastAsia" w:ascii="仿宋" w:hAnsi="仿宋" w:eastAsia="仿宋" w:cs="仿宋"/>
          <w:sz w:val="44"/>
          <w:szCs w:val="44"/>
          <w:lang w:val="en-US" w:eastAsia="zh-CN"/>
        </w:rPr>
        <w:t>土石料</w:t>
      </w:r>
      <w:r>
        <w:rPr>
          <w:rFonts w:hint="eastAsia" w:ascii="仿宋" w:hAnsi="仿宋" w:eastAsia="仿宋" w:cs="仿宋"/>
          <w:sz w:val="44"/>
          <w:szCs w:val="44"/>
        </w:rPr>
        <w:t>买卖合同（样本）</w:t>
      </w:r>
    </w:p>
    <w:p>
      <w:pPr>
        <w:pStyle w:val="14"/>
        <w:pageBreakBefore w:val="0"/>
        <w:kinsoku/>
        <w:wordWrap/>
        <w:overflowPunct/>
        <w:topLinePunct w:val="0"/>
        <w:autoSpaceDE/>
        <w:autoSpaceDN/>
        <w:bidi w:val="0"/>
        <w:adjustRightInd/>
        <w:spacing w:beforeAutospacing="0" w:afterLines="50" w:afterAutospacing="0" w:line="400" w:lineRule="exact"/>
        <w:jc w:val="center"/>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合同编号：</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转让人：</w:t>
      </w:r>
      <w:r>
        <w:rPr>
          <w:rFonts w:hint="eastAsia" w:ascii="宋体" w:hAnsi="宋体" w:eastAsia="宋体" w:cs="宋体"/>
          <w:color w:val="auto"/>
          <w:sz w:val="28"/>
          <w:szCs w:val="28"/>
          <w:u w:val="single"/>
        </w:rPr>
        <w:t xml:space="preserve"> 宁波市北仑区人民政府白峰街道办事</w:t>
      </w:r>
      <w:r>
        <w:rPr>
          <w:rFonts w:hint="eastAsia" w:cs="宋体"/>
          <w:color w:val="auto"/>
          <w:sz w:val="28"/>
          <w:szCs w:val="28"/>
          <w:u w:val="single"/>
          <w:lang w:eastAsia="zh-CN"/>
        </w:rPr>
        <w:t>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（以下简称“甲方”）</w:t>
      </w:r>
    </w:p>
    <w:p>
      <w:pPr>
        <w:pStyle w:val="14"/>
        <w:keepNext w:val="0"/>
        <w:keepLines w:val="0"/>
        <w:pageBreakBefore w:val="0"/>
        <w:widowControl/>
        <w:kinsoku/>
        <w:wordWrap/>
        <w:overflowPunct/>
        <w:topLinePunct w:val="0"/>
        <w:autoSpaceDE/>
        <w:autoSpaceDN/>
        <w:bidi w:val="0"/>
        <w:adjustRightInd/>
        <w:snapToGrid/>
        <w:spacing w:beforeAutospacing="0" w:after="313" w:afterLines="100" w:afterAutospacing="0"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受让人：</w:t>
      </w:r>
      <w:r>
        <w:rPr>
          <w:rFonts w:hint="eastAsia" w:cs="宋体"/>
          <w:color w:val="auto"/>
          <w:sz w:val="28"/>
          <w:szCs w:val="28"/>
          <w:lang w:val="en-US" w:eastAsia="zh-CN"/>
        </w:rPr>
        <w:t xml:space="preserve"> </w:t>
      </w:r>
      <w:r>
        <w:rPr>
          <w:rFonts w:hint="eastAsia"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（以下简称“乙方”）</w:t>
      </w:r>
    </w:p>
    <w:p>
      <w:pPr>
        <w:pStyle w:val="14"/>
        <w:keepNext w:val="0"/>
        <w:keepLines w:val="0"/>
        <w:pageBreakBefore w:val="0"/>
        <w:kinsoku/>
        <w:wordWrap/>
        <w:overflowPunct/>
        <w:topLinePunct w:val="0"/>
        <w:autoSpaceDE/>
        <w:autoSpaceDN/>
        <w:bidi w:val="0"/>
        <w:adjustRightInd/>
        <w:spacing w:beforeAutospacing="0" w:afterAutospacing="0"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为了规范交易行为，保护双方合法权益，根据《中华人民共和国民法典》及有关法律、法规，明确双方权利义务关系，保证正常交易程序，经甲、乙双方协商，一致同意签订本合同，以资共同遵守。</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第一条 </w:t>
      </w:r>
      <w:r>
        <w:rPr>
          <w:rFonts w:hint="eastAsia" w:cs="宋体"/>
          <w:b/>
          <w:bCs/>
          <w:color w:val="auto"/>
          <w:sz w:val="28"/>
          <w:szCs w:val="28"/>
          <w:lang w:val="en-US" w:eastAsia="zh-CN"/>
        </w:rPr>
        <w:t>拍卖</w:t>
      </w:r>
      <w:r>
        <w:rPr>
          <w:rFonts w:hint="eastAsia" w:ascii="宋体" w:hAnsi="宋体" w:eastAsia="宋体" w:cs="宋体"/>
          <w:b/>
          <w:bCs/>
          <w:color w:val="auto"/>
          <w:sz w:val="28"/>
          <w:szCs w:val="28"/>
        </w:rPr>
        <w:t>标的</w:t>
      </w:r>
    </w:p>
    <w:p>
      <w:pPr>
        <w:pStyle w:val="14"/>
        <w:keepNext w:val="0"/>
        <w:keepLines w:val="0"/>
        <w:pageBreakBefore w:val="0"/>
        <w:kinsoku/>
        <w:wordWrap/>
        <w:overflowPunct/>
        <w:topLinePunct w:val="0"/>
        <w:autoSpaceDE/>
        <w:autoSpaceDN/>
        <w:bidi w:val="0"/>
        <w:adjustRightInd/>
        <w:spacing w:beforeAutospacing="0" w:afterAutospacing="0" w:line="44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(一）乙方通过公开竞价，取得</w:t>
      </w:r>
      <w:r>
        <w:rPr>
          <w:rFonts w:hint="eastAsia" w:ascii="宋体" w:hAnsi="宋体" w:cs="宋体"/>
          <w:b w:val="0"/>
          <w:bCs w:val="0"/>
          <w:color w:val="auto"/>
          <w:kern w:val="0"/>
          <w:sz w:val="28"/>
          <w:szCs w:val="28"/>
          <w:highlight w:val="none"/>
          <w:u w:val="none" w:color="FFFFFF"/>
          <w:shd w:val="clear" w:color="auto" w:fill="auto"/>
          <w:lang w:val="en-US" w:eastAsia="zh-CN"/>
        </w:rPr>
        <w:t>位于</w:t>
      </w:r>
      <w:r>
        <w:rPr>
          <w:rFonts w:hint="eastAsia" w:ascii="宋体" w:hAnsi="宋体" w:cs="宋体"/>
          <w:b w:val="0"/>
          <w:bCs w:val="0"/>
          <w:color w:val="auto"/>
          <w:kern w:val="0"/>
          <w:sz w:val="28"/>
          <w:szCs w:val="28"/>
          <w:highlight w:val="none"/>
          <w:u w:val="single" w:color="FFFFFF"/>
          <w:shd w:val="clear" w:color="auto" w:fill="auto"/>
          <w:lang w:val="en-US" w:eastAsia="zh-CN"/>
        </w:rPr>
        <w:t>宁波市北仑区白峰街道宁波港外危险货物场站（半山堆场）地块边坡治理工程</w:t>
      </w:r>
      <w:r>
        <w:rPr>
          <w:rFonts w:hint="eastAsia" w:ascii="宋体" w:hAnsi="宋体" w:eastAsia="宋体" w:cs="宋体"/>
          <w:b w:val="0"/>
          <w:bCs w:val="0"/>
          <w:color w:val="auto"/>
          <w:kern w:val="0"/>
          <w:sz w:val="28"/>
          <w:szCs w:val="28"/>
          <w:highlight w:val="none"/>
          <w:u w:val="none" w:color="FFFFFF"/>
          <w:shd w:val="clear" w:color="auto" w:fill="auto"/>
          <w:lang w:val="en-US" w:eastAsia="zh-CN"/>
        </w:rPr>
        <w:t>多余</w:t>
      </w:r>
      <w:r>
        <w:rPr>
          <w:rFonts w:hint="eastAsia" w:ascii="宋体" w:hAnsi="宋体" w:cs="宋体"/>
          <w:b w:val="0"/>
          <w:bCs w:val="0"/>
          <w:i w:val="0"/>
          <w:iCs w:val="0"/>
          <w:color w:val="auto"/>
          <w:kern w:val="0"/>
          <w:sz w:val="28"/>
          <w:szCs w:val="28"/>
          <w:highlight w:val="none"/>
          <w:u w:val="none" w:color="FFFFFF"/>
          <w:shd w:val="clear" w:color="auto" w:fill="auto"/>
          <w:lang w:val="en-US" w:eastAsia="zh-CN" w:bidi="ar"/>
        </w:rPr>
        <w:t>土石方一批</w:t>
      </w:r>
      <w:r>
        <w:rPr>
          <w:rFonts w:hint="eastAsia" w:ascii="宋体" w:hAnsi="宋体" w:eastAsia="宋体" w:cs="宋体"/>
          <w:color w:val="auto"/>
          <w:sz w:val="28"/>
          <w:szCs w:val="28"/>
        </w:rPr>
        <w:t>（以下简称“标的物”）；</w:t>
      </w:r>
      <w:r>
        <w:rPr>
          <w:rFonts w:hint="eastAsia" w:ascii="宋体" w:hAnsi="宋体" w:eastAsia="宋体" w:cs="宋体"/>
          <w:color w:val="auto"/>
          <w:sz w:val="28"/>
          <w:szCs w:val="28"/>
          <w:lang w:val="en-US" w:eastAsia="zh-CN"/>
        </w:rPr>
        <w:t xml:space="preserve">  </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 xml:space="preserve">    第二条 </w:t>
      </w:r>
      <w:r>
        <w:rPr>
          <w:rFonts w:hint="eastAsia" w:cs="宋体"/>
          <w:b/>
          <w:bCs/>
          <w:color w:val="auto"/>
          <w:sz w:val="28"/>
          <w:szCs w:val="28"/>
          <w:lang w:val="en-US" w:eastAsia="zh-CN"/>
        </w:rPr>
        <w:t>数量和价款结算</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sz w:val="28"/>
          <w:szCs w:val="28"/>
          <w:lang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拍卖由第三方专业机构估算</w:t>
      </w:r>
      <w:r>
        <w:rPr>
          <w:rFonts w:hint="eastAsia" w:ascii="宋体" w:hAnsi="宋体" w:cs="宋体"/>
          <w:color w:val="auto"/>
          <w:sz w:val="28"/>
          <w:szCs w:val="28"/>
          <w:lang w:val="en-US" w:eastAsia="zh-CN"/>
        </w:rPr>
        <w:t>方量</w:t>
      </w:r>
      <w:r>
        <w:rPr>
          <w:rFonts w:hint="eastAsia" w:ascii="宋体" w:hAnsi="宋体" w:cs="宋体"/>
          <w:sz w:val="28"/>
          <w:szCs w:val="28"/>
          <w:u w:val="single"/>
          <w:lang w:val="en-US" w:eastAsia="zh-CN"/>
        </w:rPr>
        <w:t>97.5万</w:t>
      </w:r>
      <w:r>
        <w:rPr>
          <w:rFonts w:hint="eastAsia" w:ascii="宋体" w:hAnsi="宋体" w:cs="宋体"/>
          <w:sz w:val="28"/>
          <w:szCs w:val="28"/>
          <w:u w:val="single"/>
        </w:rPr>
        <w:t>m³</w:t>
      </w:r>
      <w:r>
        <w:rPr>
          <w:rFonts w:hint="eastAsia" w:ascii="宋体" w:hAnsi="宋体" w:cs="宋体"/>
          <w:sz w:val="28"/>
          <w:szCs w:val="28"/>
          <w:u w:val="single"/>
          <w:lang w:val="en-US" w:eastAsia="zh-CN"/>
        </w:rPr>
        <w:t>,</w:t>
      </w:r>
      <w:r>
        <w:rPr>
          <w:rFonts w:hint="eastAsia" w:ascii="宋体" w:hAnsi="宋体" w:eastAsia="宋体" w:cs="宋体"/>
          <w:color w:val="auto"/>
          <w:sz w:val="28"/>
          <w:szCs w:val="28"/>
        </w:rPr>
        <w:t>价格为人民币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u w:val="none"/>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大写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rPr>
        <w:t>元整</w:t>
      </w:r>
      <w:r>
        <w:rPr>
          <w:rFonts w:hint="eastAsia" w:ascii="宋体" w:hAnsi="宋体" w:cs="宋体"/>
          <w:color w:val="auto"/>
          <w:sz w:val="28"/>
          <w:szCs w:val="28"/>
          <w:lang w:eastAsia="zh-CN"/>
        </w:rPr>
        <w:t>，买受人需以估算的</w:t>
      </w:r>
      <w:r>
        <w:rPr>
          <w:rFonts w:hint="eastAsia" w:ascii="宋体" w:hAnsi="宋体" w:cs="宋体"/>
          <w:color w:val="auto"/>
          <w:sz w:val="28"/>
          <w:szCs w:val="28"/>
          <w:lang w:val="en-US" w:eastAsia="zh-CN"/>
        </w:rPr>
        <w:t>方</w:t>
      </w:r>
      <w:r>
        <w:rPr>
          <w:rFonts w:hint="eastAsia" w:ascii="宋体" w:hAnsi="宋体" w:cs="宋体"/>
          <w:color w:val="auto"/>
          <w:sz w:val="28"/>
          <w:szCs w:val="28"/>
          <w:lang w:eastAsia="zh-CN"/>
        </w:rPr>
        <w:t>量支付成交款，最终以工程结束后根据第三方测绘机构测绘方量进行结算，多退少补。买受人在</w:t>
      </w:r>
      <w:r>
        <w:rPr>
          <w:rFonts w:hint="eastAsia"/>
          <w:sz w:val="28"/>
          <w:szCs w:val="28"/>
          <w:lang w:val="en-US" w:eastAsia="zh-CN"/>
        </w:rPr>
        <w:t>拍卖成交后</w:t>
      </w:r>
      <w:r>
        <w:rPr>
          <w:rFonts w:hint="eastAsia"/>
          <w:sz w:val="28"/>
          <w:szCs w:val="28"/>
          <w:u w:val="single"/>
          <w:lang w:val="en-US" w:eastAsia="zh-CN"/>
        </w:rPr>
        <w:t xml:space="preserve"> 5天内支付全部成交款的30%，剩余部分在15天内</w:t>
      </w:r>
      <w:r>
        <w:rPr>
          <w:rFonts w:hint="eastAsia"/>
          <w:sz w:val="28"/>
          <w:szCs w:val="28"/>
          <w:lang w:val="en-US" w:eastAsia="zh-CN"/>
        </w:rPr>
        <w:t>将付清，</w:t>
      </w:r>
      <w:r>
        <w:rPr>
          <w:rFonts w:hint="eastAsia"/>
          <w:sz w:val="28"/>
          <w:szCs w:val="28"/>
          <w:u w:val="single"/>
          <w:lang w:val="en-US" w:eastAsia="zh-CN"/>
        </w:rPr>
        <w:t>成交款</w:t>
      </w:r>
      <w:r>
        <w:rPr>
          <w:rFonts w:hint="eastAsia" w:ascii="宋体" w:hAnsi="宋体" w:cs="宋体"/>
          <w:sz w:val="28"/>
          <w:szCs w:val="28"/>
        </w:rPr>
        <w:t>支付到</w:t>
      </w:r>
      <w:r>
        <w:rPr>
          <w:rFonts w:hint="eastAsia" w:ascii="宋体" w:hAnsi="宋体" w:cs="宋体"/>
          <w:sz w:val="28"/>
          <w:szCs w:val="28"/>
          <w:lang w:val="en-US" w:eastAsia="zh-CN"/>
        </w:rPr>
        <w:t>甲方</w:t>
      </w:r>
      <w:bookmarkStart w:id="0" w:name="_GoBack"/>
      <w:bookmarkEnd w:id="0"/>
      <w:r>
        <w:rPr>
          <w:rFonts w:hint="eastAsia" w:ascii="宋体" w:hAnsi="宋体" w:cs="宋体"/>
          <w:sz w:val="28"/>
          <w:szCs w:val="28"/>
        </w:rPr>
        <w:t>指定的账户</w:t>
      </w:r>
      <w:r>
        <w:rPr>
          <w:rFonts w:hint="eastAsia" w:ascii="宋体" w:hAnsi="宋体" w:cs="宋体"/>
          <w:sz w:val="28"/>
          <w:szCs w:val="28"/>
          <w:lang w:eastAsia="zh-CN"/>
        </w:rPr>
        <w:t>。</w:t>
      </w:r>
    </w:p>
    <w:p>
      <w:pPr>
        <w:pageBreakBefore w:val="0"/>
        <w:kinsoku/>
        <w:overflowPunct/>
        <w:topLinePunct w:val="0"/>
        <w:autoSpaceDE/>
        <w:autoSpaceDN/>
        <w:bidi w:val="0"/>
        <w:snapToGrid/>
        <w:spacing w:line="440" w:lineRule="exact"/>
        <w:ind w:firstLine="280" w:firstLineChars="100"/>
        <w:rPr>
          <w:rFonts w:hint="eastAsia" w:ascii="宋体" w:hAnsi="宋体"/>
          <w:color w:val="000000"/>
          <w:sz w:val="28"/>
          <w:szCs w:val="28"/>
          <w:u w:val="single"/>
          <w:lang w:val="en-US" w:eastAsia="zh-CN"/>
        </w:rPr>
      </w:pPr>
      <w:r>
        <w:rPr>
          <w:rFonts w:hint="eastAsia" w:ascii="宋体" w:hAnsi="宋体"/>
          <w:color w:val="000000"/>
          <w:sz w:val="28"/>
          <w:szCs w:val="28"/>
          <w:lang w:val="en-US" w:eastAsia="zh-CN"/>
        </w:rPr>
        <w:t>户名：</w:t>
      </w:r>
      <w:r>
        <w:rPr>
          <w:rFonts w:hint="eastAsia" w:ascii="宋体" w:hAnsi="宋体"/>
          <w:color w:val="000000"/>
          <w:sz w:val="28"/>
          <w:szCs w:val="28"/>
          <w:u w:val="single"/>
          <w:lang w:val="en-US" w:eastAsia="zh-CN"/>
        </w:rPr>
        <w:t xml:space="preserve"> 宁波市北仑区人民政府白峰街道办事处财政代管资金专户 ；</w:t>
      </w:r>
    </w:p>
    <w:p>
      <w:pPr>
        <w:pageBreakBefore w:val="0"/>
        <w:kinsoku/>
        <w:overflowPunct/>
        <w:topLinePunct w:val="0"/>
        <w:autoSpaceDE/>
        <w:autoSpaceDN/>
        <w:bidi w:val="0"/>
        <w:snapToGrid/>
        <w:spacing w:line="440" w:lineRule="exact"/>
        <w:ind w:firstLine="280" w:firstLineChars="100"/>
        <w:rPr>
          <w:rFonts w:hint="eastAsia" w:ascii="宋体" w:hAnsi="宋体"/>
          <w:color w:val="000000"/>
          <w:sz w:val="28"/>
          <w:szCs w:val="28"/>
          <w:u w:val="single"/>
          <w:lang w:val="en-US" w:eastAsia="zh-CN"/>
        </w:rPr>
      </w:pPr>
      <w:r>
        <w:rPr>
          <w:rFonts w:hint="eastAsia" w:ascii="宋体" w:hAnsi="宋体"/>
          <w:color w:val="000000"/>
          <w:sz w:val="28"/>
          <w:szCs w:val="28"/>
          <w:lang w:val="en-US" w:eastAsia="zh-CN"/>
        </w:rPr>
        <w:t>开户行：</w:t>
      </w:r>
      <w:r>
        <w:rPr>
          <w:rFonts w:hint="eastAsia" w:ascii="宋体" w:hAnsi="宋体"/>
          <w:color w:val="000000"/>
          <w:sz w:val="28"/>
          <w:szCs w:val="28"/>
          <w:u w:val="single"/>
          <w:lang w:val="en-US" w:eastAsia="zh-CN"/>
        </w:rPr>
        <w:t xml:space="preserve"> 北仑农商银行白峰支行 ；</w:t>
      </w:r>
    </w:p>
    <w:p>
      <w:pPr>
        <w:pageBreakBefore w:val="0"/>
        <w:kinsoku/>
        <w:overflowPunct/>
        <w:topLinePunct w:val="0"/>
        <w:autoSpaceDE/>
        <w:autoSpaceDN/>
        <w:bidi w:val="0"/>
        <w:snapToGrid/>
        <w:spacing w:line="440" w:lineRule="exact"/>
        <w:ind w:firstLine="280" w:firstLineChars="100"/>
        <w:rPr>
          <w:rFonts w:hint="default" w:asciiTheme="minorEastAsia" w:hAnsiTheme="minorEastAsia" w:eastAsiaTheme="minorEastAsia" w:cstheme="minorEastAsia"/>
          <w:b w:val="0"/>
          <w:bCs w:val="0"/>
          <w:color w:val="000000" w:themeColor="text1"/>
          <w:sz w:val="28"/>
          <w:szCs w:val="28"/>
          <w:lang w:val="en-US" w:eastAsia="zh-CN"/>
        </w:rPr>
      </w:pPr>
      <w:r>
        <w:rPr>
          <w:rFonts w:hint="eastAsia" w:ascii="宋体" w:hAnsi="宋体"/>
          <w:color w:val="000000"/>
          <w:sz w:val="28"/>
          <w:szCs w:val="28"/>
          <w:u w:val="none"/>
          <w:lang w:val="en-US" w:eastAsia="zh-CN"/>
        </w:rPr>
        <w:t>账号：</w:t>
      </w:r>
      <w:r>
        <w:rPr>
          <w:rFonts w:hint="eastAsia" w:ascii="宋体" w:hAnsi="宋体"/>
          <w:color w:val="000000"/>
          <w:sz w:val="28"/>
          <w:szCs w:val="28"/>
          <w:u w:val="single"/>
          <w:lang w:val="en-US" w:eastAsia="zh-CN"/>
        </w:rPr>
        <w:t xml:space="preserve"> 231000003152721   ；</w:t>
      </w:r>
    </w:p>
    <w:p>
      <w:pPr>
        <w:keepNext w:val="0"/>
        <w:keepLines w:val="0"/>
        <w:pageBreakBefore w:val="0"/>
        <w:kinsoku/>
        <w:wordWrap/>
        <w:overflowPunct/>
        <w:topLinePunct w:val="0"/>
        <w:autoSpaceDE/>
        <w:autoSpaceDN/>
        <w:bidi w:val="0"/>
        <w:adjustRightInd/>
        <w:spacing w:line="440" w:lineRule="exact"/>
        <w:textAlignment w:val="auto"/>
        <w:rPr>
          <w:rFonts w:hint="default"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cs="宋体"/>
          <w:b/>
          <w:bCs/>
          <w:color w:val="auto"/>
          <w:sz w:val="28"/>
          <w:szCs w:val="28"/>
          <w:lang w:val="en-US" w:eastAsia="zh-CN"/>
        </w:rPr>
        <w:t>第三条 提货周期</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（一）提货期限: 合同签定之日起至2025年2月底,具体以工程实际施工进度为准。</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lang w:eastAsia="zh-CN"/>
        </w:rPr>
      </w:pPr>
      <w:r>
        <w:rPr>
          <w:rFonts w:hint="eastAsia" w:cs="宋体"/>
          <w:color w:val="auto"/>
          <w:sz w:val="28"/>
          <w:szCs w:val="28"/>
          <w:lang w:val="en-US" w:eastAsia="zh-CN"/>
        </w:rPr>
        <w:t>（二）</w:t>
      </w:r>
      <w:r>
        <w:rPr>
          <w:rFonts w:hint="eastAsia" w:ascii="宋体" w:hAnsi="宋体" w:eastAsia="宋体" w:cs="宋体"/>
          <w:color w:val="auto"/>
          <w:sz w:val="28"/>
          <w:szCs w:val="28"/>
          <w:lang w:val="en-US" w:eastAsia="zh-CN"/>
        </w:rPr>
        <w:t>治理施工期间，治理区允许堆放土石料体积：</w:t>
      </w:r>
      <w:r>
        <w:rPr>
          <w:rFonts w:hint="eastAsia" w:ascii="宋体" w:hAnsi="宋体" w:eastAsia="宋体" w:cs="宋体"/>
          <w:color w:val="auto"/>
          <w:sz w:val="28"/>
          <w:szCs w:val="28"/>
          <w:u w:val="single"/>
          <w:lang w:val="en-US" w:eastAsia="zh-CN"/>
        </w:rPr>
        <w:t xml:space="preserve"> </w:t>
      </w:r>
      <w:r>
        <w:rPr>
          <w:rFonts w:hint="eastAsia" w:cs="宋体"/>
          <w:color w:val="auto"/>
          <w:sz w:val="28"/>
          <w:szCs w:val="28"/>
          <w:u w:val="single"/>
          <w:lang w:val="en-US" w:eastAsia="zh-CN"/>
        </w:rPr>
        <w:t>1</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lang w:val="en-US" w:eastAsia="zh-CN"/>
        </w:rPr>
        <w:t>以甲方指定的技术单位测量数据为准</w:t>
      </w:r>
      <w:r>
        <w:rPr>
          <w:rFonts w:hint="eastAsia" w:ascii="宋体" w:hAnsi="宋体" w:eastAsia="宋体" w:cs="宋体"/>
          <w:color w:val="auto"/>
          <w:sz w:val="28"/>
          <w:szCs w:val="28"/>
          <w:lang w:eastAsia="zh-CN"/>
        </w:rPr>
        <w:t>。</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第四条 保证金(履约保证金)</w:t>
      </w:r>
    </w:p>
    <w:p>
      <w:pPr>
        <w:keepNext w:val="0"/>
        <w:keepLines w:val="0"/>
        <w:pageBreakBefore w:val="0"/>
        <w:kinsoku/>
        <w:wordWrap/>
        <w:overflowPunct/>
        <w:topLinePunct w:val="0"/>
        <w:autoSpaceDE/>
        <w:autoSpaceDN/>
        <w:bidi w:val="0"/>
        <w:adjustRightInd/>
        <w:spacing w:line="44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u w:val="none"/>
          <w:lang w:val="en-US" w:eastAsia="zh-CN"/>
        </w:rPr>
        <w:t>如乙方未能按</w:t>
      </w:r>
      <w:r>
        <w:rPr>
          <w:rFonts w:hint="eastAsia" w:ascii="宋体" w:hAnsi="宋体" w:cs="宋体"/>
          <w:color w:val="auto"/>
          <w:sz w:val="28"/>
          <w:szCs w:val="28"/>
          <w:u w:val="none"/>
          <w:lang w:val="en-US" w:eastAsia="zh-CN"/>
        </w:rPr>
        <w:t>约定</w:t>
      </w:r>
      <w:r>
        <w:rPr>
          <w:rFonts w:hint="eastAsia" w:ascii="宋体" w:hAnsi="宋体" w:eastAsia="宋体" w:cs="宋体"/>
          <w:color w:val="auto"/>
          <w:sz w:val="28"/>
          <w:szCs w:val="28"/>
          <w:u w:val="none"/>
          <w:lang w:val="en-US" w:eastAsia="zh-CN"/>
        </w:rPr>
        <w:t>支付拍卖成交款</w:t>
      </w:r>
      <w:r>
        <w:rPr>
          <w:rFonts w:hint="eastAsia" w:ascii="宋体" w:hAnsi="宋体" w:cs="宋体"/>
          <w:color w:val="auto"/>
          <w:sz w:val="28"/>
          <w:szCs w:val="28"/>
          <w:u w:val="none"/>
          <w:lang w:val="en-US" w:eastAsia="zh-CN"/>
        </w:rPr>
        <w:t>的</w:t>
      </w:r>
      <w:r>
        <w:rPr>
          <w:rFonts w:hint="eastAsia" w:ascii="宋体" w:hAnsi="宋体" w:eastAsia="宋体" w:cs="宋体"/>
          <w:color w:val="auto"/>
          <w:sz w:val="28"/>
          <w:szCs w:val="28"/>
          <w:u w:val="none"/>
          <w:lang w:val="en-US" w:eastAsia="zh-CN"/>
        </w:rPr>
        <w:t>属违约</w:t>
      </w:r>
      <w:r>
        <w:rPr>
          <w:rFonts w:hint="eastAsia" w:ascii="宋体" w:hAnsi="宋体" w:cs="宋体"/>
          <w:color w:val="auto"/>
          <w:sz w:val="28"/>
          <w:szCs w:val="28"/>
          <w:u w:val="none"/>
          <w:lang w:val="en-US" w:eastAsia="zh-CN"/>
        </w:rPr>
        <w:t>行为，保证金(履约保证金)作为违约金不予退还，由此造成的损失由违约方承担。</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第</w:t>
      </w:r>
      <w:r>
        <w:rPr>
          <w:rFonts w:hint="eastAsia" w:cs="宋体"/>
          <w:b/>
          <w:bCs/>
          <w:color w:val="auto"/>
          <w:sz w:val="28"/>
          <w:szCs w:val="28"/>
          <w:lang w:val="en-US" w:eastAsia="zh-CN"/>
        </w:rPr>
        <w:t>四</w:t>
      </w:r>
      <w:r>
        <w:rPr>
          <w:rFonts w:hint="eastAsia" w:ascii="宋体" w:hAnsi="宋体" w:eastAsia="宋体" w:cs="宋体"/>
          <w:b/>
          <w:bCs/>
          <w:color w:val="auto"/>
          <w:sz w:val="28"/>
          <w:szCs w:val="28"/>
          <w:lang w:eastAsia="zh-CN"/>
        </w:rPr>
        <w:t>条</w:t>
      </w:r>
      <w:r>
        <w:rPr>
          <w:rFonts w:hint="eastAsia" w:ascii="宋体" w:hAnsi="宋体" w:eastAsia="宋体" w:cs="宋体"/>
          <w:b/>
          <w:bCs/>
          <w:color w:val="auto"/>
          <w:sz w:val="28"/>
          <w:szCs w:val="28"/>
          <w:lang w:val="en-US" w:eastAsia="zh-CN"/>
        </w:rPr>
        <w:t xml:space="preserve"> 标的物交付</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本合同签订后，根据工程实际开挖进度，由甲方委托</w:t>
      </w:r>
      <w:r>
        <w:rPr>
          <w:rFonts w:hint="eastAsia" w:ascii="宋体" w:hAnsi="宋体" w:cs="宋体"/>
          <w:color w:val="auto"/>
          <w:sz w:val="28"/>
          <w:szCs w:val="28"/>
          <w:lang w:val="en-US" w:eastAsia="zh-CN"/>
        </w:rPr>
        <w:t>开采的施工单位</w:t>
      </w:r>
      <w:r>
        <w:rPr>
          <w:rFonts w:hint="eastAsia" w:ascii="宋体" w:hAnsi="宋体" w:eastAsia="宋体" w:cs="宋体"/>
          <w:color w:val="auto"/>
          <w:sz w:val="28"/>
          <w:szCs w:val="28"/>
          <w:lang w:val="en-US" w:eastAsia="zh-CN"/>
        </w:rPr>
        <w:t>分批次交付给乙方。</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第</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eastAsia="zh-CN"/>
        </w:rPr>
        <w:t>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双方权利和义务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甲方应保证对转让标的物享有所有权或处置权。</w:t>
      </w:r>
      <w:r>
        <w:rPr>
          <w:rFonts w:hint="eastAsia" w:ascii="宋体" w:hAnsi="宋体" w:eastAsia="宋体" w:cs="宋体"/>
          <w:color w:val="auto"/>
          <w:sz w:val="28"/>
          <w:szCs w:val="28"/>
          <w:lang w:val="en-US" w:eastAsia="zh-CN"/>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(二</w:t>
      </w:r>
      <w:r>
        <w:rPr>
          <w:rFonts w:hint="eastAsia" w:ascii="宋体" w:hAnsi="宋体" w:eastAsia="宋体" w:cs="宋体"/>
          <w:color w:val="auto"/>
          <w:sz w:val="28"/>
          <w:szCs w:val="28"/>
          <w:lang w:val="en-US" w:eastAsia="zh-CN"/>
        </w:rPr>
        <w:t>）为确保治理工程顺利实施，乙方需对治理区堆放的标的物及时清运；乙方未及时清运，</w:t>
      </w:r>
      <w:r>
        <w:rPr>
          <w:rFonts w:hint="eastAsia" w:ascii="宋体" w:hAnsi="宋体" w:cs="宋体"/>
          <w:sz w:val="28"/>
          <w:szCs w:val="28"/>
        </w:rPr>
        <w:t>经现场核实后，</w:t>
      </w:r>
      <w:r>
        <w:rPr>
          <w:rFonts w:hint="eastAsia" w:ascii="宋体" w:hAnsi="宋体" w:cs="宋体"/>
          <w:sz w:val="28"/>
          <w:szCs w:val="28"/>
          <w:lang w:val="en-US" w:eastAsia="zh-CN"/>
        </w:rPr>
        <w:t>由</w:t>
      </w:r>
      <w:r>
        <w:rPr>
          <w:rFonts w:hint="eastAsia" w:ascii="宋体" w:hAnsi="宋体" w:cs="宋体"/>
          <w:color w:val="auto"/>
          <w:sz w:val="28"/>
          <w:szCs w:val="28"/>
          <w:lang w:val="en-US" w:eastAsia="zh-CN"/>
        </w:rPr>
        <w:t>甲方或施工单位通知乙方</w:t>
      </w:r>
      <w:r>
        <w:rPr>
          <w:rFonts w:hint="eastAsia" w:ascii="宋体" w:hAnsi="宋体" w:eastAsia="宋体" w:cs="宋体"/>
          <w:color w:val="auto"/>
          <w:sz w:val="28"/>
          <w:szCs w:val="28"/>
          <w:lang w:val="en-US" w:eastAsia="zh-CN"/>
        </w:rPr>
        <w:t>，</w:t>
      </w:r>
      <w:r>
        <w:rPr>
          <w:rFonts w:hint="eastAsia" w:ascii="宋体" w:hAnsi="宋体" w:cs="宋体"/>
          <w:sz w:val="28"/>
          <w:szCs w:val="28"/>
          <w:lang w:val="en-US" w:eastAsia="zh-CN"/>
        </w:rPr>
        <w:t>乙方在接到通知后2日内仍然未装运的,视为乙方违约</w:t>
      </w:r>
      <w:r>
        <w:rPr>
          <w:rFonts w:hint="eastAsia" w:ascii="宋体" w:hAnsi="宋体" w:cs="宋体"/>
          <w:color w:val="auto"/>
          <w:sz w:val="28"/>
          <w:szCs w:val="28"/>
          <w:highlight w:val="none"/>
          <w:shd w:val="clear" w:color="auto" w:fill="auto"/>
        </w:rPr>
        <w:t>，</w:t>
      </w:r>
      <w:r>
        <w:rPr>
          <w:rFonts w:ascii="宋体" w:hAnsi="宋体" w:cs="宋体"/>
          <w:color w:val="auto"/>
          <w:sz w:val="28"/>
          <w:szCs w:val="28"/>
          <w:highlight w:val="none"/>
          <w:shd w:val="clear" w:color="auto" w:fill="auto"/>
        </w:rPr>
        <w:t>违约金按</w:t>
      </w:r>
      <w:r>
        <w:rPr>
          <w:rFonts w:hint="eastAsia" w:ascii="宋体" w:hAnsi="宋体" w:cs="宋体"/>
          <w:color w:val="auto"/>
          <w:sz w:val="28"/>
          <w:szCs w:val="28"/>
          <w:highlight w:val="none"/>
          <w:shd w:val="clear" w:color="auto" w:fill="auto"/>
          <w:lang w:val="en-US" w:eastAsia="zh-CN"/>
        </w:rPr>
        <w:t>3000</w:t>
      </w:r>
      <w:r>
        <w:rPr>
          <w:rFonts w:ascii="宋体" w:hAnsi="宋体" w:cs="宋体"/>
          <w:color w:val="auto"/>
          <w:sz w:val="28"/>
          <w:szCs w:val="28"/>
          <w:highlight w:val="none"/>
          <w:shd w:val="clear" w:color="auto" w:fill="auto"/>
        </w:rPr>
        <w:t>元/日进行计算</w:t>
      </w:r>
      <w:r>
        <w:rPr>
          <w:rFonts w:hint="eastAsia" w:ascii="宋体" w:hAnsi="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rPr>
        <w:t>乙方在接到通知之日起</w:t>
      </w:r>
      <w:r>
        <w:rPr>
          <w:rFonts w:hint="eastAsia" w:ascii="宋体" w:hAnsi="宋体" w:cs="宋体"/>
          <w:color w:val="auto"/>
          <w:sz w:val="28"/>
          <w:szCs w:val="28"/>
          <w:highlight w:val="none"/>
          <w:shd w:val="clear" w:color="auto" w:fill="auto"/>
          <w:lang w:val="en-US" w:eastAsia="zh-CN"/>
        </w:rPr>
        <w:t>10</w:t>
      </w:r>
      <w:r>
        <w:rPr>
          <w:rFonts w:hint="eastAsia" w:ascii="宋体" w:hAnsi="宋体" w:cs="宋体"/>
          <w:color w:val="auto"/>
          <w:sz w:val="28"/>
          <w:szCs w:val="28"/>
          <w:highlight w:val="none"/>
          <w:shd w:val="clear" w:color="auto" w:fill="auto"/>
        </w:rPr>
        <w:t>日内仍然未装运的</w:t>
      </w:r>
      <w:r>
        <w:rPr>
          <w:rFonts w:ascii="宋体" w:hAnsi="宋体" w:cs="宋体"/>
          <w:color w:val="auto"/>
          <w:sz w:val="28"/>
          <w:szCs w:val="28"/>
          <w:highlight w:val="none"/>
          <w:shd w:val="clear" w:color="auto" w:fill="auto"/>
        </w:rPr>
        <w:t>，</w:t>
      </w:r>
      <w:r>
        <w:rPr>
          <w:rFonts w:hint="eastAsia" w:ascii="宋体" w:hAnsi="宋体" w:cs="宋体"/>
          <w:color w:val="auto"/>
          <w:sz w:val="28"/>
          <w:szCs w:val="28"/>
          <w:highlight w:val="none"/>
          <w:shd w:val="clear" w:color="auto" w:fill="auto"/>
          <w:lang w:val="en-US" w:eastAsia="zh-CN"/>
        </w:rPr>
        <w:t>乙方除</w:t>
      </w:r>
      <w:r>
        <w:rPr>
          <w:rFonts w:hint="eastAsia" w:ascii="宋体" w:hAnsi="宋体" w:cs="宋体"/>
          <w:color w:val="auto"/>
          <w:sz w:val="28"/>
          <w:szCs w:val="28"/>
          <w:highlight w:val="none"/>
          <w:shd w:val="clear" w:color="auto" w:fill="auto"/>
        </w:rPr>
        <w:t>需</w:t>
      </w:r>
      <w:r>
        <w:rPr>
          <w:rFonts w:hint="eastAsia" w:ascii="宋体" w:hAnsi="宋体" w:cs="宋体"/>
          <w:color w:val="auto"/>
          <w:sz w:val="28"/>
          <w:szCs w:val="28"/>
          <w:highlight w:val="none"/>
          <w:shd w:val="clear" w:color="auto" w:fill="auto"/>
          <w:lang w:val="en-US" w:eastAsia="zh-CN"/>
        </w:rPr>
        <w:t>承担</w:t>
      </w:r>
      <w:r>
        <w:rPr>
          <w:rFonts w:hint="eastAsia" w:ascii="宋体" w:hAnsi="宋体" w:cs="宋体"/>
          <w:color w:val="auto"/>
          <w:sz w:val="28"/>
          <w:szCs w:val="28"/>
          <w:highlight w:val="none"/>
          <w:shd w:val="clear" w:color="auto" w:fill="auto"/>
        </w:rPr>
        <w:t>成交总价1%的违约金</w:t>
      </w:r>
      <w:r>
        <w:rPr>
          <w:rFonts w:hint="eastAsia" w:ascii="宋体" w:hAnsi="宋体" w:cs="宋体"/>
          <w:color w:val="auto"/>
          <w:sz w:val="28"/>
          <w:szCs w:val="28"/>
          <w:highlight w:val="none"/>
          <w:shd w:val="clear" w:color="auto" w:fill="auto"/>
          <w:lang w:val="en-US" w:eastAsia="zh-CN"/>
        </w:rPr>
        <w:t>外</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有权从乙方的履约保证金中优先扣除</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rPr>
        <w:t>不足部分</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向乙方追偿</w:t>
      </w:r>
      <w:r>
        <w:rPr>
          <w:rFonts w:hint="eastAsia" w:ascii="宋体" w:hAnsi="宋体" w:cs="宋体"/>
          <w:color w:val="auto"/>
          <w:sz w:val="28"/>
          <w:szCs w:val="28"/>
          <w:highlight w:val="none"/>
          <w:shd w:val="clear" w:color="auto" w:fill="auto"/>
          <w:lang w:val="en-US" w:eastAsia="zh-CN"/>
        </w:rPr>
        <w:t>,对拒不执行的甲方有权解除本合同。</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如遇特殊情况无法及时清运，届时造成治理区堆放土石料体积超过允许堆放量的，乙方必须提前征得</w:t>
      </w:r>
      <w:r>
        <w:rPr>
          <w:rFonts w:hint="eastAsia" w:ascii="宋体" w:hAnsi="宋体" w:cs="宋体"/>
          <w:color w:val="auto"/>
          <w:sz w:val="28"/>
          <w:szCs w:val="28"/>
          <w:lang w:val="en-US" w:eastAsia="zh-CN"/>
        </w:rPr>
        <w:t>甲方</w:t>
      </w:r>
      <w:r>
        <w:rPr>
          <w:rFonts w:hint="eastAsia" w:ascii="宋体" w:hAnsi="宋体" w:eastAsia="宋体" w:cs="宋体"/>
          <w:color w:val="auto"/>
          <w:sz w:val="28"/>
          <w:szCs w:val="28"/>
          <w:lang w:val="en-US" w:eastAsia="zh-CN"/>
        </w:rPr>
        <w:t>书面同意。</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lang w:val="en-US" w:eastAsia="zh-CN"/>
        </w:rPr>
        <w:t>）乙方须严格遵守国家安全生产的法律法规和标准进行安全施工，并制定相对应的安全事故应急处置预案，确保清运工作顺利完成。</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rPr>
        <w:t>如</w:t>
      </w:r>
      <w:r>
        <w:rPr>
          <w:rFonts w:hint="eastAsia" w:ascii="宋体" w:hAnsi="宋体" w:eastAsia="宋体" w:cs="宋体"/>
          <w:color w:val="auto"/>
          <w:sz w:val="28"/>
          <w:szCs w:val="28"/>
        </w:rPr>
        <w:t>发生重大安全事故或人员伤亡时，乙方应采取必要的措施，及时抢救伤员，防止事态进一步扩大、减少损失，同时须立即报告甲方</w:t>
      </w:r>
      <w:r>
        <w:rPr>
          <w:rFonts w:hint="eastAsia" w:ascii="宋体" w:hAnsi="宋体" w:eastAsia="宋体" w:cs="宋体"/>
          <w:color w:val="auto"/>
          <w:sz w:val="28"/>
          <w:szCs w:val="28"/>
          <w:lang w:eastAsia="zh-CN"/>
        </w:rPr>
        <w:t>及相关部门</w:t>
      </w:r>
      <w:r>
        <w:rPr>
          <w:rFonts w:hint="eastAsia" w:ascii="宋体" w:hAnsi="宋体" w:eastAsia="宋体" w:cs="宋体"/>
          <w:color w:val="auto"/>
          <w:sz w:val="28"/>
          <w:szCs w:val="28"/>
        </w:rPr>
        <w:t>。</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lang w:val="en-US" w:eastAsia="zh-CN"/>
        </w:rPr>
        <w:t>）乙方须自行办理清运相关手续并承担费用，在街道、公管和交警等部门联合出台工程运输实施规定后，按要求组织装运车辆清运，且在运输期间不得影响周边居民、企业的正常生活及生产，确保道路通畅</w:t>
      </w:r>
      <w:r>
        <w:rPr>
          <w:rFonts w:hint="eastAsia" w:ascii="宋体" w:hAnsi="宋体" w:cs="宋体"/>
          <w:color w:val="auto"/>
          <w:sz w:val="28"/>
          <w:szCs w:val="28"/>
          <w:lang w:val="en-US" w:eastAsia="zh-CN"/>
        </w:rPr>
        <w:t>,做好路面清洁</w:t>
      </w:r>
      <w:r>
        <w:rPr>
          <w:rFonts w:hint="eastAsia" w:ascii="宋体" w:hAnsi="宋体" w:eastAsia="宋体" w:cs="宋体"/>
          <w:color w:val="auto"/>
          <w:sz w:val="28"/>
          <w:szCs w:val="28"/>
          <w:lang w:val="en-US" w:eastAsia="zh-CN"/>
        </w:rPr>
        <w:t>。实际清运过程中，司乘人员的人身财产安全问题，均由乙方自行负责，与其他各方无涉。</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五</w:t>
      </w:r>
      <w:r>
        <w:rPr>
          <w:rFonts w:hint="eastAsia" w:ascii="宋体" w:hAnsi="宋体" w:eastAsia="宋体" w:cs="宋体"/>
          <w:color w:val="auto"/>
          <w:sz w:val="28"/>
          <w:szCs w:val="28"/>
          <w:lang w:val="en-US" w:eastAsia="zh-CN"/>
        </w:rPr>
        <w:t>）乙方在履约期间，被第三方投诉或者诉讼的，由乙方妥善解决。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）在履约期间，因乙方原因（包括但不限于安全责任事故等）造成第三方人身损害及财产损失的，由乙方承担赔偿责任。</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第</w:t>
      </w:r>
      <w:r>
        <w:rPr>
          <w:rFonts w:hint="eastAsia" w:ascii="宋体" w:hAnsi="宋体" w:cs="宋体"/>
          <w:b/>
          <w:bCs/>
          <w:color w:val="auto"/>
          <w:kern w:val="0"/>
          <w:sz w:val="28"/>
          <w:szCs w:val="28"/>
          <w:lang w:val="en-US" w:eastAsia="zh-CN"/>
        </w:rPr>
        <w:t>六</w:t>
      </w:r>
      <w:r>
        <w:rPr>
          <w:rFonts w:hint="eastAsia" w:ascii="宋体" w:hAnsi="宋体" w:eastAsia="宋体" w:cs="宋体"/>
          <w:b/>
          <w:bCs/>
          <w:color w:val="auto"/>
          <w:kern w:val="0"/>
          <w:sz w:val="28"/>
          <w:szCs w:val="28"/>
        </w:rPr>
        <w:t>条 违约责任</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（一）乙方出现下列情形之一的，甲方有权解除本合同、</w:t>
      </w:r>
      <w:r>
        <w:rPr>
          <w:rFonts w:hint="eastAsia" w:ascii="宋体" w:hAnsi="宋体" w:eastAsia="宋体" w:cs="宋体"/>
          <w:color w:val="auto"/>
          <w:sz w:val="28"/>
          <w:szCs w:val="28"/>
          <w:lang w:val="en-US" w:eastAsia="zh-CN"/>
        </w:rPr>
        <w:t>并承担违约责任</w:t>
      </w:r>
      <w:r>
        <w:rPr>
          <w:rFonts w:hint="eastAsia" w:ascii="宋体" w:hAnsi="宋体" w:eastAsia="宋体" w:cs="宋体"/>
          <w:color w:val="auto"/>
          <w:sz w:val="28"/>
          <w:szCs w:val="28"/>
        </w:rPr>
        <w:t>，且乙方应向甲方赔偿由此造成的一切损失：</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1、与施工</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勾结，</w:t>
      </w:r>
      <w:r>
        <w:rPr>
          <w:rFonts w:hint="eastAsia" w:ascii="宋体" w:hAnsi="宋体" w:eastAsia="宋体" w:cs="宋体"/>
          <w:color w:val="auto"/>
          <w:sz w:val="28"/>
          <w:szCs w:val="28"/>
          <w:lang w:eastAsia="zh-CN"/>
        </w:rPr>
        <w:t>或擅自开挖，</w:t>
      </w:r>
      <w:r>
        <w:rPr>
          <w:rFonts w:hint="eastAsia" w:ascii="宋体" w:hAnsi="宋体" w:eastAsia="宋体" w:cs="宋体"/>
          <w:color w:val="auto"/>
          <w:kern w:val="0"/>
          <w:sz w:val="28"/>
          <w:szCs w:val="28"/>
        </w:rPr>
        <w:t>侵吞</w:t>
      </w:r>
      <w:r>
        <w:rPr>
          <w:rFonts w:hint="eastAsia" w:ascii="宋体" w:hAnsi="宋体" w:eastAsia="宋体" w:cs="宋体"/>
          <w:color w:val="auto"/>
          <w:kern w:val="0"/>
          <w:sz w:val="28"/>
          <w:szCs w:val="28"/>
          <w:lang w:eastAsia="zh-CN"/>
        </w:rPr>
        <w:t>土石料</w:t>
      </w:r>
      <w:r>
        <w:rPr>
          <w:rFonts w:hint="eastAsia" w:ascii="宋体" w:hAnsi="宋体" w:eastAsia="宋体" w:cs="宋体"/>
          <w:color w:val="auto"/>
          <w:kern w:val="0"/>
          <w:sz w:val="28"/>
          <w:szCs w:val="28"/>
        </w:rPr>
        <w:t>且数量较大的；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造成恶劣影响和社会负面舆论的；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未及时清运，通知后仍为清运并超过规定时间，严重影响施工进度的；</w:t>
      </w:r>
    </w:p>
    <w:p>
      <w:pPr>
        <w:pStyle w:val="9"/>
        <w:rPr>
          <w:rFonts w:hint="default"/>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其他违反合同约定的事项</w:t>
      </w:r>
      <w:r>
        <w:rPr>
          <w:rFonts w:hint="eastAsia" w:ascii="宋体" w:hAnsi="宋体" w:cs="宋体"/>
          <w:color w:val="auto"/>
          <w:sz w:val="28"/>
          <w:szCs w:val="28"/>
          <w:lang w:eastAsia="zh-CN"/>
        </w:rPr>
        <w:t>。</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（二）甲方出现下列情形之一，乙方有权解除本合同，且可向甲方要求赔偿由此所造成的一切损失：</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1、大幅度调整运送量且未书面通知乙方的；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、擅自将标的物处置的。</w:t>
      </w:r>
    </w:p>
    <w:p>
      <w:pPr>
        <w:keepNext w:val="0"/>
        <w:keepLines w:val="0"/>
        <w:pageBreakBefore w:val="0"/>
        <w:tabs>
          <w:tab w:val="left" w:pos="8280"/>
        </w:tabs>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cs="宋体"/>
          <w:b/>
          <w:bCs/>
          <w:color w:val="auto"/>
          <w:kern w:val="0"/>
          <w:sz w:val="28"/>
          <w:szCs w:val="28"/>
          <w:lang w:val="en-US" w:eastAsia="zh-CN"/>
        </w:rPr>
        <w:t>七</w:t>
      </w:r>
      <w:r>
        <w:rPr>
          <w:rFonts w:hint="eastAsia" w:ascii="宋体" w:hAnsi="宋体" w:eastAsia="宋体" w:cs="宋体"/>
          <w:b/>
          <w:bCs/>
          <w:color w:val="auto"/>
          <w:kern w:val="0"/>
          <w:sz w:val="28"/>
          <w:szCs w:val="28"/>
        </w:rPr>
        <w:t>条 不可抗力</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（一）因大雨等恶劣天气、相关职能部门因管理需要要求停运或其他不可抗力等原因需延长标的物提取时间的，乙方须向甲方提出书面申请，经甲方同意后方可顺延。</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w:t>
      </w:r>
      <w:r>
        <w:rPr>
          <w:rFonts w:hint="eastAsia" w:ascii="宋体" w:hAnsi="宋体" w:eastAsia="宋体" w:cs="宋体"/>
          <w:color w:val="auto"/>
          <w:sz w:val="28"/>
          <w:szCs w:val="28"/>
        </w:rPr>
        <w:t>因不可抗力情形导致标的物灭失且无法在履行合同时，甲乙双方均不作任何补偿，价款按实际提取量结算。</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rPr>
        <w:t>条 补充与变更</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由甲乙双方协商一致</w:t>
      </w:r>
      <w:r>
        <w:rPr>
          <w:rFonts w:hint="eastAsia" w:ascii="宋体" w:hAnsi="宋体" w:eastAsia="宋体" w:cs="宋体"/>
          <w:color w:val="auto"/>
          <w:sz w:val="28"/>
          <w:szCs w:val="28"/>
        </w:rPr>
        <w:t>，由此形成的补充协议，与本合同具有相同法律效力。</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九</w:t>
      </w:r>
      <w:r>
        <w:rPr>
          <w:rFonts w:hint="eastAsia" w:ascii="宋体" w:hAnsi="宋体" w:eastAsia="宋体" w:cs="宋体"/>
          <w:b/>
          <w:bCs/>
          <w:color w:val="auto"/>
          <w:sz w:val="28"/>
          <w:szCs w:val="28"/>
        </w:rPr>
        <w:t>条 争议的解决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各方当事人对本合同有关条款的解释或履行发生争议时，应通过友好协商的方式予以解决，经协商未达成书面协议，则任何一方当事人均有权向</w:t>
      </w:r>
      <w:r>
        <w:rPr>
          <w:rFonts w:hint="eastAsia" w:ascii="宋体" w:hAnsi="宋体" w:cs="宋体"/>
          <w:color w:val="auto"/>
          <w:sz w:val="28"/>
          <w:szCs w:val="28"/>
          <w:lang w:val="en-US" w:eastAsia="zh-CN"/>
        </w:rPr>
        <w:t>北仑区</w:t>
      </w:r>
      <w:r>
        <w:rPr>
          <w:rFonts w:hint="eastAsia" w:ascii="宋体" w:hAnsi="宋体" w:eastAsia="宋体" w:cs="宋体"/>
          <w:color w:val="auto"/>
          <w:sz w:val="28"/>
          <w:szCs w:val="28"/>
        </w:rPr>
        <w:t>人民法院提起诉讼。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十</w:t>
      </w:r>
      <w:r>
        <w:rPr>
          <w:rFonts w:hint="eastAsia" w:ascii="宋体" w:hAnsi="宋体" w:eastAsia="宋体" w:cs="宋体"/>
          <w:b/>
          <w:bCs/>
          <w:color w:val="auto"/>
          <w:sz w:val="28"/>
          <w:szCs w:val="28"/>
        </w:rPr>
        <w:t>条 协议和条款效力</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（一）本次拍卖行为由</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负责代理，甲乙双方因本次拍卖行为与</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签署的各种拍卖文书及协议，为本合同的有效组织部分，均具有同等法律效应。</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十</w:t>
      </w: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rPr>
        <w:t>条 生效条件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本合同自双方的法定代表人或其授权代理人在本协议上签字</w:t>
      </w:r>
      <w:r>
        <w:rPr>
          <w:rFonts w:hint="eastAsia" w:ascii="宋体" w:hAnsi="宋体" w:eastAsia="宋体" w:cs="宋体"/>
          <w:color w:val="auto"/>
          <w:sz w:val="28"/>
          <w:szCs w:val="28"/>
          <w:lang w:eastAsia="zh-CN"/>
        </w:rPr>
        <w:t>并</w:t>
      </w:r>
      <w:r>
        <w:rPr>
          <w:rFonts w:hint="eastAsia" w:ascii="宋体" w:hAnsi="宋体" w:eastAsia="宋体" w:cs="宋体"/>
          <w:color w:val="auto"/>
          <w:sz w:val="28"/>
          <w:szCs w:val="28"/>
        </w:rPr>
        <w:t>加盖公章之日起生效。</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第十</w:t>
      </w: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rPr>
        <w:t xml:space="preserve">条 其他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本协议一式</w:t>
      </w:r>
      <w:r>
        <w:rPr>
          <w:rFonts w:hint="eastAsia" w:ascii="宋体" w:hAnsi="宋体" w:cs="宋体"/>
          <w:color w:val="auto"/>
          <w:sz w:val="28"/>
          <w:szCs w:val="28"/>
          <w:lang w:val="en-US" w:eastAsia="zh-CN"/>
        </w:rPr>
        <w:t>肆</w:t>
      </w:r>
      <w:r>
        <w:rPr>
          <w:rFonts w:hint="eastAsia" w:ascii="宋体" w:hAnsi="宋体" w:eastAsia="宋体" w:cs="宋体"/>
          <w:color w:val="auto"/>
          <w:sz w:val="28"/>
          <w:szCs w:val="28"/>
        </w:rPr>
        <w:t>份，具有相同法律效力。甲方执贰份，乙方执</w:t>
      </w:r>
      <w:r>
        <w:rPr>
          <w:rFonts w:hint="eastAsia" w:ascii="宋体" w:hAnsi="宋体" w:cs="宋体"/>
          <w:color w:val="auto"/>
          <w:sz w:val="28"/>
          <w:szCs w:val="28"/>
          <w:lang w:val="en-US" w:eastAsia="zh-CN"/>
        </w:rPr>
        <w:t>贰</w:t>
      </w:r>
      <w:r>
        <w:rPr>
          <w:rFonts w:hint="eastAsia" w:ascii="宋体" w:hAnsi="宋体" w:eastAsia="宋体" w:cs="宋体"/>
          <w:color w:val="auto"/>
          <w:sz w:val="28"/>
          <w:szCs w:val="28"/>
        </w:rPr>
        <w:t xml:space="preserve">份。 </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甲方（盖章）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乙方（盖章）</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法定代表人（或代理人）：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法定代表人（或代理人）：</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联系电话：  </w:t>
      </w:r>
    </w:p>
    <w:p>
      <w:pPr>
        <w:keepNext w:val="0"/>
        <w:keepLines w:val="0"/>
        <w:pageBreakBefore w:val="0"/>
        <w:kinsoku/>
        <w:wordWrap/>
        <w:overflowPunct/>
        <w:topLinePunct w:val="0"/>
        <w:autoSpaceDE/>
        <w:autoSpaceDN/>
        <w:bidi w:val="0"/>
        <w:adjustRightInd/>
        <w:spacing w:line="440" w:lineRule="exact"/>
        <w:textAlignment w:val="auto"/>
        <w:rPr>
          <w:rFonts w:hint="default"/>
          <w:color w:val="auto"/>
          <w:lang w:val="en-US" w:eastAsia="zh-CN"/>
        </w:rPr>
      </w:pPr>
      <w:r>
        <w:rPr>
          <w:rFonts w:hint="eastAsia" w:ascii="宋体" w:hAnsi="宋体" w:eastAsia="宋体" w:cs="宋体"/>
          <w:color w:val="auto"/>
          <w:sz w:val="28"/>
          <w:szCs w:val="28"/>
        </w:rPr>
        <w:t>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    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w:t>
      </w:r>
    </w:p>
    <w:sectPr>
      <w:footerReference r:id="rId3" w:type="default"/>
      <w:pgSz w:w="11906" w:h="16838"/>
      <w:pgMar w:top="1440" w:right="1066" w:bottom="121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rPr>
                    <w:rFonts w:cs="Times New Roman"/>
                  </w:rPr>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xMDQ3MjI5Y2UzMTE3YTU4N2ZlZmQ4NzA0NWE2ZTEifQ=="/>
  </w:docVars>
  <w:rsids>
    <w:rsidRoot w:val="78CA0435"/>
    <w:rsid w:val="000071E0"/>
    <w:rsid w:val="00010E01"/>
    <w:rsid w:val="000319C2"/>
    <w:rsid w:val="000406E0"/>
    <w:rsid w:val="00080C18"/>
    <w:rsid w:val="00092B06"/>
    <w:rsid w:val="000C521E"/>
    <w:rsid w:val="001065BB"/>
    <w:rsid w:val="00116E84"/>
    <w:rsid w:val="00127EAC"/>
    <w:rsid w:val="00160607"/>
    <w:rsid w:val="001620C3"/>
    <w:rsid w:val="001651AD"/>
    <w:rsid w:val="001657DC"/>
    <w:rsid w:val="00165BCA"/>
    <w:rsid w:val="001830D4"/>
    <w:rsid w:val="00190B53"/>
    <w:rsid w:val="00192D6F"/>
    <w:rsid w:val="001C09C4"/>
    <w:rsid w:val="001C6CA7"/>
    <w:rsid w:val="001D2837"/>
    <w:rsid w:val="001E3A14"/>
    <w:rsid w:val="001E4042"/>
    <w:rsid w:val="001F2F9F"/>
    <w:rsid w:val="0025247F"/>
    <w:rsid w:val="0025775E"/>
    <w:rsid w:val="00265A93"/>
    <w:rsid w:val="00271370"/>
    <w:rsid w:val="002A4A86"/>
    <w:rsid w:val="002B4E7E"/>
    <w:rsid w:val="002D2B48"/>
    <w:rsid w:val="002D7AA6"/>
    <w:rsid w:val="002F09E0"/>
    <w:rsid w:val="0030671D"/>
    <w:rsid w:val="00307CEB"/>
    <w:rsid w:val="00352B80"/>
    <w:rsid w:val="003551DB"/>
    <w:rsid w:val="00357150"/>
    <w:rsid w:val="003836CD"/>
    <w:rsid w:val="00394B86"/>
    <w:rsid w:val="003A5811"/>
    <w:rsid w:val="003A6A13"/>
    <w:rsid w:val="003A77D5"/>
    <w:rsid w:val="003C22D9"/>
    <w:rsid w:val="00406363"/>
    <w:rsid w:val="00442E87"/>
    <w:rsid w:val="004551AD"/>
    <w:rsid w:val="00455A3A"/>
    <w:rsid w:val="004621C9"/>
    <w:rsid w:val="0049145C"/>
    <w:rsid w:val="00497AD9"/>
    <w:rsid w:val="004A487F"/>
    <w:rsid w:val="004C4B2A"/>
    <w:rsid w:val="004C60C3"/>
    <w:rsid w:val="004D043B"/>
    <w:rsid w:val="004F2393"/>
    <w:rsid w:val="0050748C"/>
    <w:rsid w:val="0051594A"/>
    <w:rsid w:val="00527847"/>
    <w:rsid w:val="00537402"/>
    <w:rsid w:val="0057442D"/>
    <w:rsid w:val="00582F50"/>
    <w:rsid w:val="00584448"/>
    <w:rsid w:val="005865D0"/>
    <w:rsid w:val="005A1932"/>
    <w:rsid w:val="005A448D"/>
    <w:rsid w:val="005C57B0"/>
    <w:rsid w:val="005D1E3F"/>
    <w:rsid w:val="005D7BFF"/>
    <w:rsid w:val="005E0B8C"/>
    <w:rsid w:val="00601FDE"/>
    <w:rsid w:val="00604A83"/>
    <w:rsid w:val="006175CC"/>
    <w:rsid w:val="00632A27"/>
    <w:rsid w:val="006453C0"/>
    <w:rsid w:val="006608BA"/>
    <w:rsid w:val="006639DE"/>
    <w:rsid w:val="00677D27"/>
    <w:rsid w:val="006D5FDD"/>
    <w:rsid w:val="00714D49"/>
    <w:rsid w:val="00714ED5"/>
    <w:rsid w:val="0073065F"/>
    <w:rsid w:val="007335C8"/>
    <w:rsid w:val="00735050"/>
    <w:rsid w:val="00735C00"/>
    <w:rsid w:val="00745003"/>
    <w:rsid w:val="00750269"/>
    <w:rsid w:val="0075032F"/>
    <w:rsid w:val="007621F4"/>
    <w:rsid w:val="00766044"/>
    <w:rsid w:val="00776865"/>
    <w:rsid w:val="007854A1"/>
    <w:rsid w:val="00797CDE"/>
    <w:rsid w:val="007B4314"/>
    <w:rsid w:val="007F2BA1"/>
    <w:rsid w:val="007F467D"/>
    <w:rsid w:val="00827286"/>
    <w:rsid w:val="008436A5"/>
    <w:rsid w:val="00846AF2"/>
    <w:rsid w:val="00853378"/>
    <w:rsid w:val="0085677F"/>
    <w:rsid w:val="00857BE3"/>
    <w:rsid w:val="00884E35"/>
    <w:rsid w:val="00896D76"/>
    <w:rsid w:val="008B61F0"/>
    <w:rsid w:val="008B661E"/>
    <w:rsid w:val="008C1CD8"/>
    <w:rsid w:val="008C2692"/>
    <w:rsid w:val="008D163D"/>
    <w:rsid w:val="008D448C"/>
    <w:rsid w:val="008E1638"/>
    <w:rsid w:val="008E1DD0"/>
    <w:rsid w:val="008F6FED"/>
    <w:rsid w:val="0090660C"/>
    <w:rsid w:val="00930EAA"/>
    <w:rsid w:val="009369D3"/>
    <w:rsid w:val="00967448"/>
    <w:rsid w:val="0097266B"/>
    <w:rsid w:val="009779B7"/>
    <w:rsid w:val="00991606"/>
    <w:rsid w:val="009B700C"/>
    <w:rsid w:val="009D2D81"/>
    <w:rsid w:val="009D56FE"/>
    <w:rsid w:val="009E58AB"/>
    <w:rsid w:val="009F3496"/>
    <w:rsid w:val="009F403A"/>
    <w:rsid w:val="00A13007"/>
    <w:rsid w:val="00A1733A"/>
    <w:rsid w:val="00A2301F"/>
    <w:rsid w:val="00A636C8"/>
    <w:rsid w:val="00A724F1"/>
    <w:rsid w:val="00A8024D"/>
    <w:rsid w:val="00AA4547"/>
    <w:rsid w:val="00AB0B6A"/>
    <w:rsid w:val="00AF6539"/>
    <w:rsid w:val="00B05716"/>
    <w:rsid w:val="00B14847"/>
    <w:rsid w:val="00B22243"/>
    <w:rsid w:val="00B24A74"/>
    <w:rsid w:val="00B27B82"/>
    <w:rsid w:val="00B30B6E"/>
    <w:rsid w:val="00B34297"/>
    <w:rsid w:val="00B42BDC"/>
    <w:rsid w:val="00B42D33"/>
    <w:rsid w:val="00B455BA"/>
    <w:rsid w:val="00B4610C"/>
    <w:rsid w:val="00B74C4B"/>
    <w:rsid w:val="00BA3CEB"/>
    <w:rsid w:val="00BA668D"/>
    <w:rsid w:val="00BC4BB4"/>
    <w:rsid w:val="00BC7C07"/>
    <w:rsid w:val="00BD2AB7"/>
    <w:rsid w:val="00BE031A"/>
    <w:rsid w:val="00C10192"/>
    <w:rsid w:val="00C14FB2"/>
    <w:rsid w:val="00C152CF"/>
    <w:rsid w:val="00C15B78"/>
    <w:rsid w:val="00C2090C"/>
    <w:rsid w:val="00C230A0"/>
    <w:rsid w:val="00C35E24"/>
    <w:rsid w:val="00C37CF8"/>
    <w:rsid w:val="00C425DF"/>
    <w:rsid w:val="00C51E12"/>
    <w:rsid w:val="00C87F55"/>
    <w:rsid w:val="00C94E7C"/>
    <w:rsid w:val="00CA0448"/>
    <w:rsid w:val="00CA34D9"/>
    <w:rsid w:val="00CB0CA0"/>
    <w:rsid w:val="00CD739E"/>
    <w:rsid w:val="00CE70F9"/>
    <w:rsid w:val="00D34B69"/>
    <w:rsid w:val="00D37A8F"/>
    <w:rsid w:val="00D54398"/>
    <w:rsid w:val="00D80772"/>
    <w:rsid w:val="00D878B6"/>
    <w:rsid w:val="00D92CF9"/>
    <w:rsid w:val="00D931B9"/>
    <w:rsid w:val="00DC72E4"/>
    <w:rsid w:val="00DD2C8C"/>
    <w:rsid w:val="00DF65AE"/>
    <w:rsid w:val="00E0158C"/>
    <w:rsid w:val="00E0618C"/>
    <w:rsid w:val="00E07727"/>
    <w:rsid w:val="00E17A3D"/>
    <w:rsid w:val="00E24887"/>
    <w:rsid w:val="00E42D7B"/>
    <w:rsid w:val="00E45FBC"/>
    <w:rsid w:val="00E70713"/>
    <w:rsid w:val="00E73E3C"/>
    <w:rsid w:val="00E7426C"/>
    <w:rsid w:val="00E905C7"/>
    <w:rsid w:val="00E957A7"/>
    <w:rsid w:val="00EB1672"/>
    <w:rsid w:val="00EC4140"/>
    <w:rsid w:val="00EC48B4"/>
    <w:rsid w:val="00EF0564"/>
    <w:rsid w:val="00EF1AC8"/>
    <w:rsid w:val="00EF30CB"/>
    <w:rsid w:val="00F143D7"/>
    <w:rsid w:val="00F16BDC"/>
    <w:rsid w:val="00F240A4"/>
    <w:rsid w:val="00F30BB5"/>
    <w:rsid w:val="00F321E1"/>
    <w:rsid w:val="00F56748"/>
    <w:rsid w:val="00F56C8D"/>
    <w:rsid w:val="00F63610"/>
    <w:rsid w:val="00FA7703"/>
    <w:rsid w:val="00FC02D5"/>
    <w:rsid w:val="00FC0CC0"/>
    <w:rsid w:val="00FC6058"/>
    <w:rsid w:val="00FE1193"/>
    <w:rsid w:val="00FE45C8"/>
    <w:rsid w:val="04995A99"/>
    <w:rsid w:val="0BB80DDB"/>
    <w:rsid w:val="1263003F"/>
    <w:rsid w:val="16305BE4"/>
    <w:rsid w:val="17300F83"/>
    <w:rsid w:val="18B70DE0"/>
    <w:rsid w:val="19654B2A"/>
    <w:rsid w:val="1D133CCA"/>
    <w:rsid w:val="1E674E88"/>
    <w:rsid w:val="221B2F2C"/>
    <w:rsid w:val="2224077B"/>
    <w:rsid w:val="23C6438D"/>
    <w:rsid w:val="251E3962"/>
    <w:rsid w:val="27086A2E"/>
    <w:rsid w:val="28CB623A"/>
    <w:rsid w:val="29F61DFB"/>
    <w:rsid w:val="2B27572F"/>
    <w:rsid w:val="2DCB31A4"/>
    <w:rsid w:val="2EDD0BC3"/>
    <w:rsid w:val="2FC46B36"/>
    <w:rsid w:val="34A75A9C"/>
    <w:rsid w:val="3A1B0DBE"/>
    <w:rsid w:val="3D897A7E"/>
    <w:rsid w:val="3DA904CF"/>
    <w:rsid w:val="3E9C67C1"/>
    <w:rsid w:val="3EE4262A"/>
    <w:rsid w:val="40730CF4"/>
    <w:rsid w:val="42F85509"/>
    <w:rsid w:val="430E2866"/>
    <w:rsid w:val="43A20F6E"/>
    <w:rsid w:val="46946CD2"/>
    <w:rsid w:val="46CC7FAF"/>
    <w:rsid w:val="47347026"/>
    <w:rsid w:val="47422A8C"/>
    <w:rsid w:val="48AE006C"/>
    <w:rsid w:val="4A97389D"/>
    <w:rsid w:val="4AC658D5"/>
    <w:rsid w:val="4B2C76CB"/>
    <w:rsid w:val="4F033982"/>
    <w:rsid w:val="50B92751"/>
    <w:rsid w:val="535E5DA8"/>
    <w:rsid w:val="59EE793D"/>
    <w:rsid w:val="5A19116D"/>
    <w:rsid w:val="5A473648"/>
    <w:rsid w:val="5BDD5D30"/>
    <w:rsid w:val="5CEC286E"/>
    <w:rsid w:val="5E043397"/>
    <w:rsid w:val="5E2C2251"/>
    <w:rsid w:val="62AF13AC"/>
    <w:rsid w:val="64752B3C"/>
    <w:rsid w:val="659D0BDD"/>
    <w:rsid w:val="6BD11E6A"/>
    <w:rsid w:val="6BD83049"/>
    <w:rsid w:val="6C840ABE"/>
    <w:rsid w:val="6D866700"/>
    <w:rsid w:val="704B2876"/>
    <w:rsid w:val="712059A3"/>
    <w:rsid w:val="71924E5E"/>
    <w:rsid w:val="72EF1CFD"/>
    <w:rsid w:val="75D87891"/>
    <w:rsid w:val="78326556"/>
    <w:rsid w:val="78CA0435"/>
    <w:rsid w:val="78EC71A9"/>
    <w:rsid w:val="7A587F38"/>
    <w:rsid w:val="7A717FC0"/>
    <w:rsid w:val="7C2804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autoRedefine/>
    <w:qFormat/>
    <w:locked/>
    <w:uiPriority w:val="99"/>
    <w:pPr>
      <w:widowControl/>
      <w:spacing w:beforeAutospacing="1" w:afterAutospacing="1"/>
      <w:jc w:val="left"/>
      <w:outlineLvl w:val="1"/>
    </w:pPr>
    <w:rPr>
      <w:rFonts w:ascii="宋体" w:hAnsi="宋体" w:cs="宋体"/>
      <w:b/>
      <w:bCs/>
      <w:kern w:val="0"/>
      <w:sz w:val="36"/>
      <w:szCs w:val="36"/>
    </w:rPr>
  </w:style>
  <w:style w:type="paragraph" w:styleId="3">
    <w:name w:val="heading 6"/>
    <w:basedOn w:val="1"/>
    <w:next w:val="1"/>
    <w:link w:val="11"/>
    <w:autoRedefine/>
    <w:qFormat/>
    <w:locked/>
    <w:uiPriority w:val="99"/>
    <w:pPr>
      <w:keepNext/>
      <w:keepLines/>
      <w:spacing w:before="240" w:after="64" w:line="320" w:lineRule="auto"/>
      <w:outlineLvl w:val="5"/>
    </w:pPr>
    <w:rPr>
      <w:rFonts w:ascii="Arial" w:hAnsi="Arial" w:eastAsia="黑体" w:cs="Arial"/>
      <w:b/>
      <w:bCs/>
      <w:sz w:val="24"/>
      <w:szCs w:val="24"/>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autoRedefine/>
    <w:qFormat/>
    <w:uiPriority w:val="99"/>
    <w:pPr>
      <w:ind w:firstLine="420" w:firstLineChars="200"/>
    </w:pPr>
  </w:style>
  <w:style w:type="character" w:customStyle="1" w:styleId="10">
    <w:name w:val="Heading 2 Char"/>
    <w:basedOn w:val="8"/>
    <w:link w:val="2"/>
    <w:autoRedefine/>
    <w:semiHidden/>
    <w:qFormat/>
    <w:locked/>
    <w:uiPriority w:val="99"/>
    <w:rPr>
      <w:rFonts w:ascii="宋体" w:hAnsi="宋体" w:eastAsia="宋体" w:cs="宋体"/>
      <w:b/>
      <w:bCs/>
      <w:sz w:val="36"/>
      <w:szCs w:val="36"/>
      <w:lang w:val="en-US" w:eastAsia="zh-CN"/>
    </w:rPr>
  </w:style>
  <w:style w:type="character" w:customStyle="1" w:styleId="11">
    <w:name w:val="Heading 6 Char"/>
    <w:basedOn w:val="8"/>
    <w:link w:val="3"/>
    <w:autoRedefine/>
    <w:semiHidden/>
    <w:qFormat/>
    <w:locked/>
    <w:uiPriority w:val="99"/>
    <w:rPr>
      <w:rFonts w:ascii="Arial" w:hAnsi="Arial" w:eastAsia="黑体" w:cs="Arial"/>
      <w:b/>
      <w:bCs/>
      <w:kern w:val="2"/>
      <w:sz w:val="24"/>
      <w:szCs w:val="24"/>
      <w:lang w:val="en-US" w:eastAsia="zh-CN"/>
    </w:rPr>
  </w:style>
  <w:style w:type="character" w:customStyle="1" w:styleId="12">
    <w:name w:val="Footer Char"/>
    <w:basedOn w:val="8"/>
    <w:link w:val="4"/>
    <w:autoRedefine/>
    <w:qFormat/>
    <w:locked/>
    <w:uiPriority w:val="99"/>
    <w:rPr>
      <w:kern w:val="2"/>
      <w:sz w:val="18"/>
      <w:szCs w:val="18"/>
    </w:rPr>
  </w:style>
  <w:style w:type="character" w:customStyle="1" w:styleId="13">
    <w:name w:val="Header Char"/>
    <w:basedOn w:val="8"/>
    <w:link w:val="5"/>
    <w:autoRedefine/>
    <w:qFormat/>
    <w:locked/>
    <w:uiPriority w:val="99"/>
    <w:rPr>
      <w:kern w:val="2"/>
      <w:sz w:val="18"/>
      <w:szCs w:val="18"/>
    </w:rPr>
  </w:style>
  <w:style w:type="paragraph" w:customStyle="1" w:styleId="14">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paragraph" w:customStyle="1" w:styleId="15">
    <w:name w:val="_Style 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6">
    <w:name w:val="Char Char"/>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7">
    <w:name w:val="Char Char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8">
    <w:name w:val="Char Char2"/>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9">
    <w:name w:val="Char Char3"/>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0">
    <w:name w:val="Char Char4"/>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1">
    <w:name w:val="Char Char5"/>
    <w:basedOn w:val="1"/>
    <w:autoRedefine/>
    <w:qFormat/>
    <w:uiPriority w:val="99"/>
    <w:pPr>
      <w:widowControl/>
      <w:spacing w:after="160" w:line="240" w:lineRule="exact"/>
      <w:ind w:firstLine="420" w:firstLineChars="20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3</Pages>
  <Words>2190</Words>
  <Characters>2220</Characters>
  <Lines>0</Lines>
  <Paragraphs>0</Paragraphs>
  <TotalTime>3</TotalTime>
  <ScaleCrop>false</ScaleCrop>
  <LinksUpToDate>false</LinksUpToDate>
  <CharactersWithSpaces>2545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2019-11-26T05:23:00Z</dcterms:created>
  <dc:creator>Zhang</dc:creator>
  <cp:lastModifiedBy>Administrator</cp:lastModifiedBy>
  <cp:lastPrinted>2024-03-05T08:13:00Z</cp:lastPrinted>
  <dcterms:modified xsi:type="dcterms:W3CDTF">2024-05-04T06:40:22Z</dcterms:modified>
  <dc:title>渣土（建筑垃圾）处置服务协议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A5B3BBFD6024409D9CF084C141D5A6D7</vt:lpwstr>
  </property>
</Properties>
</file>