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65C24">
      <w:pPr>
        <w:jc w:val="center"/>
        <w:rPr>
          <w:rFonts w:ascii="宋体" w:hAnsi="宋体"/>
          <w:bCs/>
          <w:sz w:val="24"/>
          <w:highlight w:val="none"/>
        </w:rPr>
      </w:pPr>
      <w:bookmarkStart w:id="8" w:name="_GoBack"/>
      <w:bookmarkEnd w:id="8"/>
    </w:p>
    <w:p w14:paraId="152EFE31">
      <w:pPr>
        <w:ind w:right="560" w:firstLine="6240" w:firstLineChars="2600"/>
        <w:rPr>
          <w:rFonts w:ascii="宋体" w:hAnsi="宋体"/>
          <w:b/>
          <w:bCs/>
          <w:sz w:val="24"/>
          <w:highlight w:val="none"/>
        </w:rPr>
      </w:pPr>
      <w:r>
        <w:rPr>
          <w:rFonts w:hint="eastAsia" w:ascii="宋体" w:hAnsi="宋体"/>
          <w:bCs/>
          <w:sz w:val="24"/>
          <w:highlight w:val="none"/>
        </w:rPr>
        <w:t>合同编号：</w:t>
      </w:r>
    </w:p>
    <w:p w14:paraId="1EF13781">
      <w:pPr>
        <w:jc w:val="center"/>
        <w:rPr>
          <w:rFonts w:ascii="宋体" w:hAnsi="宋体"/>
          <w:b/>
          <w:bCs/>
          <w:sz w:val="28"/>
          <w:szCs w:val="28"/>
          <w:highlight w:val="none"/>
        </w:rPr>
      </w:pPr>
    </w:p>
    <w:p w14:paraId="597F8605">
      <w:pPr>
        <w:jc w:val="center"/>
        <w:rPr>
          <w:rFonts w:ascii="宋体" w:hAnsi="宋体"/>
          <w:b/>
          <w:bCs/>
          <w:sz w:val="28"/>
          <w:szCs w:val="28"/>
          <w:highlight w:val="none"/>
        </w:rPr>
      </w:pPr>
    </w:p>
    <w:p w14:paraId="2F227D17">
      <w:pPr>
        <w:jc w:val="center"/>
        <w:rPr>
          <w:rFonts w:ascii="宋体" w:hAnsi="宋体"/>
          <w:b/>
          <w:bCs/>
          <w:sz w:val="28"/>
          <w:szCs w:val="28"/>
          <w:highlight w:val="none"/>
        </w:rPr>
      </w:pPr>
    </w:p>
    <w:p w14:paraId="3F183D76">
      <w:pPr>
        <w:jc w:val="center"/>
        <w:rPr>
          <w:rFonts w:ascii="宋体" w:hAnsi="宋体"/>
          <w:b/>
          <w:bCs/>
          <w:sz w:val="28"/>
          <w:szCs w:val="28"/>
          <w:highlight w:val="none"/>
        </w:rPr>
      </w:pPr>
    </w:p>
    <w:p w14:paraId="3A0DA1D1">
      <w:pPr>
        <w:jc w:val="center"/>
        <w:rPr>
          <w:rFonts w:ascii="宋体" w:hAnsi="宋体"/>
          <w:b/>
          <w:bCs/>
          <w:sz w:val="28"/>
          <w:szCs w:val="28"/>
          <w:highlight w:val="none"/>
        </w:rPr>
      </w:pPr>
    </w:p>
    <w:p w14:paraId="425B4F33">
      <w:pPr>
        <w:spacing w:line="240" w:lineRule="atLeast"/>
        <w:jc w:val="center"/>
        <w:rPr>
          <w:rFonts w:hint="eastAsia" w:ascii="宋体" w:hAnsi="宋体" w:cs="仿宋_GB2312"/>
          <w:sz w:val="36"/>
          <w:szCs w:val="36"/>
          <w:highlight w:val="none"/>
        </w:rPr>
      </w:pPr>
    </w:p>
    <w:p w14:paraId="2D591364">
      <w:pPr>
        <w:spacing w:line="240" w:lineRule="atLeast"/>
        <w:jc w:val="center"/>
        <w:rPr>
          <w:rFonts w:hint="eastAsia" w:ascii="宋体" w:hAnsi="宋体" w:cs="仿宋_GB2312"/>
          <w:sz w:val="36"/>
          <w:szCs w:val="36"/>
          <w:highlight w:val="none"/>
        </w:rPr>
      </w:pPr>
    </w:p>
    <w:p w14:paraId="61560035">
      <w:pPr>
        <w:spacing w:line="240" w:lineRule="atLeast"/>
        <w:jc w:val="center"/>
        <w:rPr>
          <w:rFonts w:hint="eastAsia" w:ascii="宋体" w:hAnsi="宋体" w:cs="仿宋_GB2312"/>
          <w:sz w:val="36"/>
          <w:szCs w:val="36"/>
          <w:highlight w:val="none"/>
        </w:rPr>
      </w:pPr>
    </w:p>
    <w:p w14:paraId="5344C494">
      <w:pPr>
        <w:spacing w:line="240" w:lineRule="atLeast"/>
        <w:jc w:val="center"/>
        <w:rPr>
          <w:rFonts w:hint="eastAsia" w:ascii="宋体" w:hAnsi="宋体" w:cs="仿宋_GB2312"/>
          <w:sz w:val="36"/>
          <w:szCs w:val="36"/>
          <w:highlight w:val="none"/>
        </w:rPr>
      </w:pPr>
    </w:p>
    <w:p w14:paraId="6F62CF33">
      <w:pPr>
        <w:spacing w:line="240" w:lineRule="atLeast"/>
        <w:jc w:val="center"/>
        <w:rPr>
          <w:rFonts w:ascii="宋体" w:hAnsi="宋体" w:cs="仿宋_GB2312"/>
          <w:sz w:val="36"/>
          <w:szCs w:val="36"/>
          <w:highlight w:val="none"/>
        </w:rPr>
      </w:pPr>
      <w:r>
        <w:rPr>
          <w:rFonts w:hint="eastAsia" w:ascii="宋体" w:hAnsi="宋体" w:cs="仿宋_GB2312"/>
          <w:sz w:val="36"/>
          <w:szCs w:val="36"/>
          <w:highlight w:val="none"/>
        </w:rPr>
        <w:t>202</w:t>
      </w:r>
      <w:r>
        <w:rPr>
          <w:rFonts w:hint="eastAsia" w:ascii="宋体" w:hAnsi="宋体" w:cs="仿宋_GB2312"/>
          <w:sz w:val="36"/>
          <w:szCs w:val="36"/>
          <w:highlight w:val="none"/>
          <w:lang w:val="en-US" w:eastAsia="zh-CN"/>
        </w:rPr>
        <w:t>6</w:t>
      </w:r>
      <w:r>
        <w:rPr>
          <w:rFonts w:hint="eastAsia" w:ascii="宋体" w:hAnsi="宋体" w:cs="仿宋_GB2312"/>
          <w:sz w:val="36"/>
          <w:szCs w:val="36"/>
          <w:highlight w:val="none"/>
        </w:rPr>
        <w:t>-202</w:t>
      </w:r>
      <w:r>
        <w:rPr>
          <w:rFonts w:hint="eastAsia" w:ascii="宋体" w:hAnsi="宋体" w:cs="仿宋_GB2312"/>
          <w:sz w:val="36"/>
          <w:szCs w:val="36"/>
          <w:highlight w:val="none"/>
          <w:lang w:val="en-US" w:eastAsia="zh-CN"/>
        </w:rPr>
        <w:t>7</w:t>
      </w:r>
      <w:r>
        <w:rPr>
          <w:rFonts w:hint="eastAsia" w:ascii="宋体" w:hAnsi="宋体" w:cs="仿宋_GB2312"/>
          <w:sz w:val="36"/>
          <w:szCs w:val="36"/>
          <w:highlight w:val="none"/>
        </w:rPr>
        <w:t>年丽水烟草卷烟包装箱回收合同</w:t>
      </w:r>
    </w:p>
    <w:p w14:paraId="40871256">
      <w:pPr>
        <w:spacing w:line="240" w:lineRule="atLeast"/>
        <w:jc w:val="center"/>
        <w:rPr>
          <w:rFonts w:ascii="宋体" w:hAnsi="宋体" w:cs="仿宋_GB2312"/>
          <w:sz w:val="32"/>
          <w:szCs w:val="32"/>
          <w:highlight w:val="none"/>
        </w:rPr>
      </w:pPr>
    </w:p>
    <w:p w14:paraId="6F702216">
      <w:pPr>
        <w:jc w:val="center"/>
        <w:rPr>
          <w:rFonts w:ascii="宋体" w:hAnsi="宋体"/>
          <w:bCs/>
          <w:sz w:val="28"/>
          <w:szCs w:val="28"/>
          <w:highlight w:val="none"/>
        </w:rPr>
      </w:pPr>
    </w:p>
    <w:p w14:paraId="7E0AAB3B">
      <w:pPr>
        <w:jc w:val="center"/>
        <w:rPr>
          <w:rFonts w:hint="eastAsia" w:ascii="宋体" w:hAnsi="宋体" w:eastAsia="宋体"/>
          <w:b/>
          <w:bCs/>
          <w:sz w:val="28"/>
          <w:szCs w:val="28"/>
          <w:highlight w:val="none"/>
          <w:lang w:eastAsia="zh-CN"/>
        </w:rPr>
      </w:pPr>
      <w:r>
        <w:rPr>
          <w:rFonts w:hint="eastAsia" w:ascii="宋体" w:hAnsi="宋体"/>
          <w:b/>
          <w:bCs/>
          <w:sz w:val="28"/>
          <w:szCs w:val="28"/>
          <w:highlight w:val="none"/>
          <w:lang w:eastAsia="zh-CN"/>
        </w:rPr>
        <w:t>（</w:t>
      </w:r>
      <w:r>
        <w:rPr>
          <w:rFonts w:hint="eastAsia" w:ascii="宋体" w:hAnsi="宋体"/>
          <w:b/>
          <w:bCs/>
          <w:sz w:val="28"/>
          <w:szCs w:val="28"/>
          <w:highlight w:val="none"/>
          <w:lang w:val="en-US" w:eastAsia="zh-CN"/>
        </w:rPr>
        <w:t>样稿，仅供参考，以实际签订为准</w:t>
      </w:r>
      <w:r>
        <w:rPr>
          <w:rFonts w:hint="eastAsia" w:ascii="宋体" w:hAnsi="宋体"/>
          <w:b/>
          <w:bCs/>
          <w:sz w:val="28"/>
          <w:szCs w:val="28"/>
          <w:highlight w:val="none"/>
          <w:lang w:eastAsia="zh-CN"/>
        </w:rPr>
        <w:t>）</w:t>
      </w:r>
    </w:p>
    <w:p w14:paraId="20DF8CBF">
      <w:pPr>
        <w:jc w:val="center"/>
        <w:rPr>
          <w:rFonts w:ascii="宋体" w:hAnsi="宋体"/>
          <w:b/>
          <w:bCs/>
          <w:sz w:val="28"/>
          <w:szCs w:val="28"/>
          <w:highlight w:val="none"/>
        </w:rPr>
      </w:pPr>
    </w:p>
    <w:p w14:paraId="699D83AA">
      <w:pPr>
        <w:jc w:val="center"/>
        <w:rPr>
          <w:rFonts w:ascii="宋体" w:hAnsi="宋体"/>
          <w:b/>
          <w:bCs/>
          <w:sz w:val="28"/>
          <w:szCs w:val="28"/>
          <w:highlight w:val="none"/>
        </w:rPr>
      </w:pPr>
    </w:p>
    <w:p w14:paraId="25D351A0">
      <w:pPr>
        <w:jc w:val="center"/>
        <w:rPr>
          <w:rFonts w:ascii="宋体" w:hAnsi="宋体"/>
          <w:b/>
          <w:bCs/>
          <w:sz w:val="28"/>
          <w:szCs w:val="28"/>
          <w:highlight w:val="none"/>
        </w:rPr>
      </w:pPr>
    </w:p>
    <w:p w14:paraId="48408848">
      <w:pPr>
        <w:jc w:val="center"/>
        <w:rPr>
          <w:rFonts w:ascii="宋体" w:hAnsi="宋体"/>
          <w:b/>
          <w:bCs/>
          <w:sz w:val="28"/>
          <w:szCs w:val="28"/>
          <w:highlight w:val="none"/>
        </w:rPr>
      </w:pPr>
    </w:p>
    <w:p w14:paraId="3D43AF44">
      <w:pPr>
        <w:jc w:val="center"/>
        <w:rPr>
          <w:rFonts w:ascii="宋体" w:hAnsi="宋体"/>
          <w:b/>
          <w:bCs/>
          <w:sz w:val="28"/>
          <w:szCs w:val="28"/>
          <w:highlight w:val="none"/>
        </w:rPr>
      </w:pPr>
    </w:p>
    <w:p w14:paraId="5AE5093D">
      <w:pPr>
        <w:jc w:val="center"/>
        <w:rPr>
          <w:rFonts w:ascii="宋体" w:hAnsi="宋体"/>
          <w:b/>
          <w:bCs/>
          <w:sz w:val="28"/>
          <w:szCs w:val="28"/>
          <w:highlight w:val="none"/>
        </w:rPr>
      </w:pPr>
    </w:p>
    <w:p w14:paraId="435C9666">
      <w:pPr>
        <w:rPr>
          <w:rFonts w:ascii="宋体" w:hAnsi="宋体"/>
          <w:b/>
          <w:bCs/>
          <w:sz w:val="28"/>
          <w:szCs w:val="28"/>
          <w:highlight w:val="none"/>
        </w:rPr>
      </w:pPr>
    </w:p>
    <w:p w14:paraId="3D43E489">
      <w:pPr>
        <w:rPr>
          <w:rFonts w:ascii="宋体" w:hAnsi="宋体"/>
          <w:b/>
          <w:bCs/>
          <w:sz w:val="28"/>
          <w:szCs w:val="28"/>
          <w:highlight w:val="none"/>
        </w:rPr>
      </w:pPr>
    </w:p>
    <w:p w14:paraId="044DACB2">
      <w:pPr>
        <w:rPr>
          <w:rFonts w:ascii="宋体" w:hAnsi="宋体"/>
          <w:b/>
          <w:bCs/>
          <w:sz w:val="28"/>
          <w:szCs w:val="28"/>
          <w:highlight w:val="none"/>
        </w:rPr>
      </w:pPr>
    </w:p>
    <w:p w14:paraId="2A3063AC">
      <w:pPr>
        <w:jc w:val="center"/>
        <w:rPr>
          <w:rFonts w:ascii="宋体" w:hAnsi="宋体"/>
          <w:b/>
          <w:bCs/>
          <w:sz w:val="28"/>
          <w:szCs w:val="28"/>
          <w:highlight w:val="none"/>
        </w:rPr>
      </w:pPr>
    </w:p>
    <w:p w14:paraId="51E8C862">
      <w:pPr>
        <w:jc w:val="center"/>
        <w:rPr>
          <w:rFonts w:ascii="宋体" w:hAnsi="宋体"/>
          <w:b/>
          <w:bCs/>
          <w:sz w:val="28"/>
          <w:szCs w:val="28"/>
          <w:highlight w:val="none"/>
        </w:rPr>
      </w:pPr>
    </w:p>
    <w:p w14:paraId="5F20EE12">
      <w:pPr>
        <w:spacing w:line="360" w:lineRule="auto"/>
        <w:ind w:firstLine="1680" w:firstLineChars="600"/>
        <w:rPr>
          <w:rFonts w:ascii="宋体" w:hAnsi="宋体"/>
          <w:bCs/>
          <w:sz w:val="28"/>
          <w:szCs w:val="28"/>
          <w:highlight w:val="none"/>
        </w:rPr>
      </w:pPr>
      <w:r>
        <w:rPr>
          <w:rFonts w:hint="eastAsia" w:ascii="宋体" w:hAnsi="宋体"/>
          <w:sz w:val="28"/>
          <w:szCs w:val="28"/>
          <w:highlight w:val="none"/>
        </w:rPr>
        <w:t>出卖方（甲方）：</w:t>
      </w:r>
      <w:r>
        <w:rPr>
          <w:rFonts w:hint="eastAsia" w:ascii="宋体" w:hAnsi="宋体"/>
          <w:bCs/>
          <w:sz w:val="28"/>
          <w:szCs w:val="28"/>
          <w:highlight w:val="none"/>
          <w:u w:val="single"/>
        </w:rPr>
        <w:t xml:space="preserve"> 浙江省烟草公司丽水市公司 </w:t>
      </w:r>
    </w:p>
    <w:p w14:paraId="04E0361B">
      <w:pPr>
        <w:spacing w:line="360" w:lineRule="auto"/>
        <w:ind w:firstLine="1680" w:firstLineChars="600"/>
        <w:rPr>
          <w:rFonts w:ascii="宋体" w:hAnsi="宋体"/>
          <w:sz w:val="28"/>
          <w:szCs w:val="28"/>
          <w:highlight w:val="none"/>
        </w:rPr>
      </w:pPr>
      <w:r>
        <w:rPr>
          <w:rFonts w:hint="eastAsia" w:ascii="宋体" w:hAnsi="宋体"/>
          <w:sz w:val="28"/>
          <w:szCs w:val="28"/>
          <w:highlight w:val="none"/>
        </w:rPr>
        <w:t>买受方（乙方）：</w:t>
      </w:r>
      <w:r>
        <w:rPr>
          <w:rFonts w:hint="eastAsia" w:ascii="宋体" w:hAnsi="宋体"/>
          <w:bCs/>
          <w:sz w:val="28"/>
          <w:szCs w:val="28"/>
          <w:highlight w:val="none"/>
          <w:u w:val="single"/>
        </w:rPr>
        <w:t xml:space="preserve"> </w:t>
      </w:r>
      <w:r>
        <w:rPr>
          <w:rFonts w:hint="eastAsia" w:ascii="宋体" w:hAnsi="宋体"/>
          <w:bCs/>
          <w:sz w:val="28"/>
          <w:szCs w:val="28"/>
          <w:highlight w:val="none"/>
          <w:u w:val="single"/>
          <w:lang w:val="en-US" w:eastAsia="zh-CN"/>
        </w:rPr>
        <w:t xml:space="preserve">                     </w:t>
      </w:r>
      <w:r>
        <w:rPr>
          <w:rFonts w:hint="eastAsia" w:ascii="宋体" w:hAnsi="宋体"/>
          <w:bCs/>
          <w:sz w:val="28"/>
          <w:szCs w:val="28"/>
          <w:highlight w:val="none"/>
          <w:u w:val="single"/>
        </w:rPr>
        <w:t xml:space="preserve">    </w:t>
      </w:r>
    </w:p>
    <w:p w14:paraId="4286CEB0">
      <w:pPr>
        <w:jc w:val="center"/>
        <w:rPr>
          <w:rFonts w:ascii="宋体" w:hAnsi="宋体"/>
          <w:b/>
          <w:bCs/>
          <w:sz w:val="28"/>
          <w:szCs w:val="28"/>
          <w:highlight w:val="none"/>
        </w:rPr>
      </w:pPr>
    </w:p>
    <w:p w14:paraId="5B15A274">
      <w:pPr>
        <w:jc w:val="center"/>
        <w:rPr>
          <w:rFonts w:ascii="宋体" w:hAnsi="宋体"/>
          <w:b/>
          <w:bCs/>
          <w:sz w:val="28"/>
          <w:szCs w:val="28"/>
          <w:highlight w:val="none"/>
        </w:rPr>
      </w:pPr>
    </w:p>
    <w:p w14:paraId="6E7CD07C">
      <w:pPr>
        <w:jc w:val="center"/>
        <w:rPr>
          <w:rFonts w:ascii="宋体" w:hAnsi="宋体"/>
          <w:b/>
          <w:bCs/>
          <w:sz w:val="28"/>
          <w:szCs w:val="28"/>
          <w:highlight w:val="none"/>
        </w:rPr>
      </w:pPr>
    </w:p>
    <w:p w14:paraId="0A40B0F4">
      <w:pPr>
        <w:jc w:val="center"/>
        <w:rPr>
          <w:rFonts w:ascii="宋体" w:hAnsi="宋体"/>
          <w:b/>
          <w:bCs/>
          <w:sz w:val="28"/>
          <w:szCs w:val="28"/>
          <w:highlight w:val="none"/>
        </w:rPr>
      </w:pPr>
    </w:p>
    <w:p w14:paraId="356E31EE">
      <w:pPr>
        <w:jc w:val="center"/>
        <w:rPr>
          <w:rFonts w:ascii="宋体" w:hAnsi="宋体"/>
          <w:b/>
          <w:bCs/>
          <w:sz w:val="28"/>
          <w:szCs w:val="28"/>
          <w:highlight w:val="none"/>
        </w:rPr>
      </w:pPr>
    </w:p>
    <w:p w14:paraId="6C8FCD3B">
      <w:pPr>
        <w:jc w:val="center"/>
        <w:rPr>
          <w:rFonts w:ascii="宋体" w:hAnsi="宋体"/>
          <w:b/>
          <w:bCs/>
          <w:sz w:val="28"/>
          <w:szCs w:val="28"/>
          <w:highlight w:val="none"/>
        </w:rPr>
      </w:pPr>
    </w:p>
    <w:p w14:paraId="255C15FA">
      <w:pPr>
        <w:rPr>
          <w:rFonts w:ascii="宋体" w:hAnsi="宋体"/>
          <w:b/>
          <w:bCs/>
          <w:sz w:val="28"/>
          <w:szCs w:val="28"/>
          <w:highlight w:val="none"/>
        </w:rPr>
      </w:pPr>
    </w:p>
    <w:p w14:paraId="31E4A9AF">
      <w:pPr>
        <w:spacing w:line="480" w:lineRule="exact"/>
        <w:jc w:val="left"/>
        <w:rPr>
          <w:rFonts w:ascii="宋体" w:hAnsi="宋体"/>
          <w:bCs/>
          <w:sz w:val="24"/>
          <w:highlight w:val="none"/>
        </w:rPr>
      </w:pPr>
      <w:r>
        <w:rPr>
          <w:rFonts w:hint="eastAsia" w:ascii="宋体" w:hAnsi="宋体"/>
          <w:b/>
          <w:sz w:val="24"/>
          <w:highlight w:val="none"/>
        </w:rPr>
        <w:t>出卖方：</w:t>
      </w:r>
      <w:r>
        <w:rPr>
          <w:rFonts w:hint="eastAsia" w:ascii="宋体" w:hAnsi="宋体"/>
          <w:bCs/>
          <w:sz w:val="24"/>
          <w:highlight w:val="none"/>
          <w:u w:val="single"/>
        </w:rPr>
        <w:t xml:space="preserve"> 浙江省烟草公司丽水市公司 </w:t>
      </w:r>
      <w:r>
        <w:rPr>
          <w:rFonts w:hint="eastAsia" w:ascii="宋体" w:hAnsi="宋体"/>
          <w:bCs/>
          <w:sz w:val="24"/>
          <w:highlight w:val="none"/>
        </w:rPr>
        <w:t>（以下简称“甲方”）</w:t>
      </w:r>
    </w:p>
    <w:p w14:paraId="5EE838BA">
      <w:pPr>
        <w:spacing w:line="480" w:lineRule="exact"/>
        <w:jc w:val="left"/>
        <w:rPr>
          <w:rFonts w:ascii="宋体" w:hAnsi="宋体"/>
          <w:bCs/>
          <w:sz w:val="24"/>
          <w:highlight w:val="none"/>
          <w:u w:val="single"/>
        </w:rPr>
      </w:pPr>
      <w:r>
        <w:rPr>
          <w:rFonts w:hint="eastAsia" w:ascii="宋体" w:hAnsi="宋体"/>
          <w:b/>
          <w:sz w:val="24"/>
          <w:highlight w:val="none"/>
        </w:rPr>
        <w:t>买受方：</w:t>
      </w:r>
      <w:r>
        <w:rPr>
          <w:rFonts w:hint="eastAsia" w:ascii="宋体" w:hAnsi="宋体"/>
          <w:b/>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r>
        <w:rPr>
          <w:rFonts w:hint="eastAsia" w:ascii="宋体" w:hAnsi="宋体"/>
          <w:bCs/>
          <w:sz w:val="24"/>
          <w:highlight w:val="none"/>
        </w:rPr>
        <w:t>（以下简称“乙方”）</w:t>
      </w:r>
    </w:p>
    <w:p w14:paraId="085F49BD">
      <w:pPr>
        <w:pStyle w:val="5"/>
        <w:spacing w:line="480" w:lineRule="exact"/>
        <w:ind w:firstLine="464" w:firstLineChars="200"/>
        <w:rPr>
          <w:rFonts w:hint="eastAsia" w:hAnsi="宋体"/>
          <w:sz w:val="24"/>
          <w:szCs w:val="24"/>
          <w:highlight w:val="none"/>
        </w:rPr>
      </w:pPr>
    </w:p>
    <w:p w14:paraId="68A02128">
      <w:pPr>
        <w:pStyle w:val="5"/>
        <w:spacing w:line="480" w:lineRule="exact"/>
        <w:ind w:firstLine="464" w:firstLineChars="200"/>
        <w:rPr>
          <w:rFonts w:hAnsi="宋体"/>
          <w:sz w:val="24"/>
          <w:szCs w:val="24"/>
          <w:highlight w:val="none"/>
        </w:rPr>
      </w:pPr>
      <w:r>
        <w:rPr>
          <w:rFonts w:hint="eastAsia" w:hAnsi="宋体"/>
          <w:sz w:val="24"/>
          <w:szCs w:val="24"/>
          <w:highlight w:val="none"/>
        </w:rPr>
        <w:t>经甲方委托</w:t>
      </w:r>
      <w:r>
        <w:rPr>
          <w:rFonts w:hint="eastAsia" w:hAnsi="宋体"/>
          <w:bCs/>
          <w:spacing w:val="0"/>
          <w:sz w:val="24"/>
          <w:szCs w:val="24"/>
          <w:highlight w:val="none"/>
        </w:rPr>
        <w:t>浙江金诚拍卖股份有限公司</w:t>
      </w:r>
      <w:r>
        <w:rPr>
          <w:rFonts w:hint="eastAsia" w:hAnsi="宋体"/>
          <w:sz w:val="24"/>
          <w:szCs w:val="24"/>
          <w:highlight w:val="none"/>
        </w:rPr>
        <w:t>组织竞拍，根据《中华人民共和国民法典》和有关法律、法规，甲乙双方本着诚实信用、平等互利的原则，就甲方卷烟纸箱回收销售事宜，签订本合同。</w:t>
      </w:r>
    </w:p>
    <w:p w14:paraId="22A26D4A">
      <w:pPr>
        <w:pStyle w:val="5"/>
        <w:spacing w:line="480" w:lineRule="exact"/>
        <w:ind w:firstLine="466" w:firstLineChars="200"/>
        <w:jc w:val="center"/>
        <w:rPr>
          <w:rFonts w:hAnsi="宋体"/>
          <w:b/>
          <w:sz w:val="24"/>
          <w:szCs w:val="24"/>
          <w:highlight w:val="none"/>
        </w:rPr>
      </w:pPr>
      <w:r>
        <w:rPr>
          <w:rFonts w:hint="eastAsia" w:hAnsi="宋体"/>
          <w:b/>
          <w:sz w:val="24"/>
          <w:szCs w:val="24"/>
          <w:highlight w:val="none"/>
        </w:rPr>
        <w:t>第一章  合同文件</w:t>
      </w:r>
    </w:p>
    <w:p w14:paraId="57E4DDA3">
      <w:pPr>
        <w:pStyle w:val="5"/>
        <w:spacing w:line="480" w:lineRule="exact"/>
        <w:ind w:firstLine="466" w:firstLineChars="200"/>
        <w:rPr>
          <w:rFonts w:hAnsi="宋体"/>
          <w:b/>
          <w:sz w:val="24"/>
          <w:szCs w:val="24"/>
          <w:highlight w:val="none"/>
        </w:rPr>
      </w:pPr>
      <w:r>
        <w:rPr>
          <w:rFonts w:hint="eastAsia" w:hAnsi="宋体"/>
          <w:b/>
          <w:sz w:val="24"/>
          <w:szCs w:val="24"/>
          <w:highlight w:val="none"/>
        </w:rPr>
        <w:t>第一条 合同组成</w:t>
      </w:r>
    </w:p>
    <w:p w14:paraId="7B83CBCD">
      <w:pPr>
        <w:pStyle w:val="5"/>
        <w:spacing w:line="480" w:lineRule="exact"/>
        <w:ind w:firstLine="464" w:firstLineChars="200"/>
        <w:rPr>
          <w:rFonts w:hAnsi="宋体"/>
          <w:sz w:val="24"/>
          <w:szCs w:val="24"/>
          <w:highlight w:val="none"/>
        </w:rPr>
      </w:pPr>
      <w:r>
        <w:rPr>
          <w:rFonts w:hint="eastAsia" w:hAnsi="宋体"/>
          <w:sz w:val="24"/>
          <w:szCs w:val="24"/>
          <w:highlight w:val="none"/>
        </w:rPr>
        <w:t>下列文件构成本合同的组成部分，应该认为是一个整体，彼此相互解释，相互补充，就同一事项多个文件约定不一致的，以签署时间在后的文件为准。组成合同的多个文件：</w:t>
      </w:r>
    </w:p>
    <w:p w14:paraId="7F980E6C">
      <w:pPr>
        <w:pStyle w:val="5"/>
        <w:spacing w:line="480" w:lineRule="exact"/>
        <w:ind w:firstLine="464" w:firstLineChars="200"/>
        <w:rPr>
          <w:rFonts w:hAnsi="宋体"/>
          <w:sz w:val="24"/>
          <w:szCs w:val="24"/>
          <w:highlight w:val="none"/>
        </w:rPr>
      </w:pPr>
      <w:r>
        <w:rPr>
          <w:rFonts w:hint="eastAsia" w:hAnsi="宋体"/>
          <w:sz w:val="24"/>
          <w:szCs w:val="24"/>
          <w:highlight w:val="none"/>
        </w:rPr>
        <w:t>（一）本合同书</w:t>
      </w:r>
    </w:p>
    <w:p w14:paraId="40AD8DC6">
      <w:pPr>
        <w:pStyle w:val="5"/>
        <w:spacing w:line="480" w:lineRule="exact"/>
        <w:ind w:firstLine="464" w:firstLineChars="200"/>
        <w:rPr>
          <w:rFonts w:hAnsi="宋体"/>
          <w:sz w:val="24"/>
          <w:szCs w:val="24"/>
          <w:highlight w:val="none"/>
        </w:rPr>
      </w:pPr>
      <w:r>
        <w:rPr>
          <w:rFonts w:hint="eastAsia" w:hAnsi="宋体"/>
          <w:sz w:val="24"/>
          <w:szCs w:val="24"/>
          <w:highlight w:val="none"/>
        </w:rPr>
        <w:t>（二）买受方资质文件(含澄清内容)</w:t>
      </w:r>
    </w:p>
    <w:p w14:paraId="395FD2CE">
      <w:pPr>
        <w:pStyle w:val="5"/>
        <w:spacing w:line="480" w:lineRule="exact"/>
        <w:ind w:firstLine="464" w:firstLineChars="200"/>
        <w:rPr>
          <w:rFonts w:hAnsi="宋体"/>
          <w:sz w:val="24"/>
          <w:szCs w:val="24"/>
          <w:highlight w:val="none"/>
        </w:rPr>
      </w:pPr>
      <w:r>
        <w:rPr>
          <w:rFonts w:hint="eastAsia" w:hAnsi="宋体"/>
          <w:sz w:val="24"/>
          <w:szCs w:val="24"/>
          <w:highlight w:val="none"/>
        </w:rPr>
        <w:t>（三）竞拍资料</w:t>
      </w:r>
    </w:p>
    <w:p w14:paraId="0EB54A1D">
      <w:pPr>
        <w:pStyle w:val="5"/>
        <w:spacing w:line="480" w:lineRule="exact"/>
        <w:ind w:firstLine="464" w:firstLineChars="200"/>
        <w:rPr>
          <w:rFonts w:hAnsi="宋体"/>
          <w:sz w:val="24"/>
          <w:szCs w:val="24"/>
          <w:highlight w:val="none"/>
        </w:rPr>
      </w:pPr>
      <w:r>
        <w:rPr>
          <w:rFonts w:hint="eastAsia" w:hAnsi="宋体"/>
          <w:sz w:val="24"/>
          <w:szCs w:val="24"/>
          <w:highlight w:val="none"/>
        </w:rPr>
        <w:t>（四）甲、乙双方商定的其他必要文件</w:t>
      </w:r>
    </w:p>
    <w:p w14:paraId="47A991FD">
      <w:pPr>
        <w:pStyle w:val="5"/>
        <w:spacing w:line="480" w:lineRule="exact"/>
        <w:ind w:firstLine="464" w:firstLineChars="200"/>
        <w:rPr>
          <w:rFonts w:hAnsi="宋体"/>
          <w:sz w:val="24"/>
          <w:szCs w:val="24"/>
          <w:highlight w:val="none"/>
        </w:rPr>
      </w:pPr>
      <w:r>
        <w:rPr>
          <w:rFonts w:hint="eastAsia" w:hAnsi="宋体"/>
          <w:sz w:val="24"/>
          <w:szCs w:val="24"/>
          <w:highlight w:val="none"/>
        </w:rPr>
        <w:t>本合同另有附件：</w:t>
      </w:r>
    </w:p>
    <w:p w14:paraId="51027204">
      <w:pPr>
        <w:pStyle w:val="5"/>
        <w:spacing w:line="480" w:lineRule="exact"/>
        <w:ind w:firstLine="464" w:firstLineChars="200"/>
        <w:rPr>
          <w:rFonts w:hAnsi="宋体"/>
          <w:sz w:val="24"/>
          <w:szCs w:val="24"/>
          <w:highlight w:val="none"/>
        </w:rPr>
      </w:pPr>
      <w:r>
        <w:rPr>
          <w:rFonts w:ascii="Segoe UI Symbol" w:hAnsi="Segoe UI Symbol" w:cs="Segoe UI Symbol"/>
          <w:color w:val="000000"/>
          <w:sz w:val="24"/>
          <w:highlight w:val="none"/>
        </w:rPr>
        <w:t>☑</w:t>
      </w:r>
      <w:r>
        <w:rPr>
          <w:rFonts w:hint="eastAsia" w:hAnsi="宋体"/>
          <w:sz w:val="24"/>
          <w:szCs w:val="24"/>
          <w:highlight w:val="none"/>
        </w:rPr>
        <w:t>《廉洁合同》</w:t>
      </w:r>
    </w:p>
    <w:p w14:paraId="6DA098F3">
      <w:pPr>
        <w:pStyle w:val="5"/>
        <w:spacing w:line="480" w:lineRule="exact"/>
        <w:ind w:firstLine="464" w:firstLineChars="200"/>
        <w:rPr>
          <w:rFonts w:hAnsi="宋体"/>
          <w:sz w:val="24"/>
          <w:szCs w:val="24"/>
          <w:highlight w:val="none"/>
        </w:rPr>
      </w:pPr>
      <w:r>
        <w:rPr>
          <w:rFonts w:ascii="Segoe UI Symbol" w:hAnsi="Segoe UI Symbol" w:cs="Segoe UI Symbol"/>
          <w:color w:val="000000"/>
          <w:sz w:val="24"/>
          <w:highlight w:val="none"/>
        </w:rPr>
        <w:t>☑</w:t>
      </w:r>
      <w:r>
        <w:rPr>
          <w:rFonts w:hint="eastAsia" w:hAnsi="宋体"/>
          <w:sz w:val="24"/>
          <w:szCs w:val="24"/>
          <w:highlight w:val="none"/>
        </w:rPr>
        <w:t>《综合评价表》</w:t>
      </w:r>
    </w:p>
    <w:p w14:paraId="36DAB703">
      <w:pPr>
        <w:pStyle w:val="5"/>
        <w:spacing w:line="480" w:lineRule="exact"/>
        <w:ind w:firstLine="464" w:firstLineChars="200"/>
        <w:rPr>
          <w:rFonts w:hint="eastAsia" w:hAnsi="宋体"/>
          <w:sz w:val="24"/>
          <w:szCs w:val="24"/>
          <w:highlight w:val="none"/>
        </w:rPr>
      </w:pPr>
      <w:r>
        <w:rPr>
          <w:rFonts w:hAnsi="宋体"/>
          <w:sz w:val="24"/>
          <w:szCs w:val="24"/>
          <w:highlight w:val="none"/>
        </w:rPr>
        <w:t>☑</w:t>
      </w:r>
      <w:r>
        <w:rPr>
          <w:rFonts w:hint="eastAsia" w:hAnsi="宋体"/>
          <w:sz w:val="24"/>
          <w:szCs w:val="24"/>
          <w:highlight w:val="none"/>
        </w:rPr>
        <w:t>《单次卷烟纸箱回收销售单》</w:t>
      </w:r>
    </w:p>
    <w:p w14:paraId="20B8F08C">
      <w:pPr>
        <w:pStyle w:val="5"/>
        <w:spacing w:line="480" w:lineRule="exact"/>
        <w:ind w:firstLine="464" w:firstLineChars="200"/>
        <w:rPr>
          <w:rFonts w:hAnsi="宋体"/>
          <w:sz w:val="24"/>
          <w:szCs w:val="24"/>
          <w:highlight w:val="none"/>
        </w:rPr>
      </w:pPr>
      <w:r>
        <w:rPr>
          <w:rFonts w:hint="eastAsia" w:hAnsi="宋体"/>
          <w:sz w:val="24"/>
          <w:szCs w:val="24"/>
          <w:highlight w:val="none"/>
        </w:rPr>
        <w:t>附件为本合同不可分割的一部分，与本合同具有同等效力。</w:t>
      </w:r>
    </w:p>
    <w:p w14:paraId="480A9575">
      <w:pPr>
        <w:spacing w:line="480" w:lineRule="exact"/>
        <w:jc w:val="center"/>
        <w:rPr>
          <w:rFonts w:ascii="宋体" w:hAnsi="宋体"/>
          <w:b/>
          <w:spacing w:val="-4"/>
          <w:sz w:val="24"/>
          <w:highlight w:val="none"/>
        </w:rPr>
      </w:pPr>
      <w:r>
        <w:rPr>
          <w:rFonts w:hint="eastAsia" w:ascii="宋体" w:hAnsi="宋体"/>
          <w:b/>
          <w:spacing w:val="-4"/>
          <w:sz w:val="24"/>
          <w:highlight w:val="none"/>
        </w:rPr>
        <w:t>第二章  合同标的</w:t>
      </w:r>
    </w:p>
    <w:p w14:paraId="01192206">
      <w:pPr>
        <w:spacing w:line="360" w:lineRule="auto"/>
        <w:ind w:left="210" w:leftChars="100" w:right="210" w:rightChars="100" w:firstLine="466" w:firstLineChars="200"/>
        <w:rPr>
          <w:rFonts w:ascii="宋体" w:hAnsi="宋体"/>
          <w:spacing w:val="-4"/>
          <w:sz w:val="24"/>
          <w:highlight w:val="none"/>
        </w:rPr>
      </w:pPr>
      <w:r>
        <w:rPr>
          <w:rFonts w:hint="eastAsia" w:ascii="宋体" w:hAnsi="宋体"/>
          <w:b/>
          <w:spacing w:val="-4"/>
          <w:sz w:val="24"/>
          <w:highlight w:val="none"/>
        </w:rPr>
        <w:t>第二条</w:t>
      </w:r>
      <w:r>
        <w:rPr>
          <w:rFonts w:hint="eastAsia" w:ascii="宋体" w:hAnsi="宋体"/>
          <w:spacing w:val="-4"/>
          <w:sz w:val="24"/>
          <w:highlight w:val="none"/>
        </w:rPr>
        <w:t xml:space="preserve"> </w:t>
      </w:r>
      <w:r>
        <w:rPr>
          <w:rFonts w:hint="eastAsia" w:ascii="宋体" w:hAnsi="宋体"/>
          <w:b/>
          <w:spacing w:val="-4"/>
          <w:sz w:val="24"/>
          <w:highlight w:val="none"/>
        </w:rPr>
        <w:t xml:space="preserve"> 合同标的</w:t>
      </w:r>
    </w:p>
    <w:p w14:paraId="18F580CC">
      <w:pPr>
        <w:spacing w:line="360" w:lineRule="auto"/>
        <w:ind w:left="210" w:leftChars="100" w:right="210" w:rightChars="100" w:firstLine="464" w:firstLineChars="200"/>
        <w:rPr>
          <w:rFonts w:ascii="宋体" w:hAnsi="宋体"/>
          <w:spacing w:val="-4"/>
          <w:sz w:val="24"/>
          <w:highlight w:val="none"/>
        </w:rPr>
      </w:pPr>
      <w:r>
        <w:rPr>
          <w:rFonts w:hint="eastAsia" w:ascii="宋体" w:hAnsi="宋体"/>
          <w:spacing w:val="-4"/>
          <w:sz w:val="24"/>
          <w:highlight w:val="none"/>
        </w:rPr>
        <w:t>本合同标的为甲方的除下列以外的浙江省烟草公司丽水市公司产生的卷烟包装纸箱进行收购：1.</w:t>
      </w:r>
      <w:r>
        <w:rPr>
          <w:rFonts w:ascii="宋体" w:hAnsi="宋体"/>
          <w:spacing w:val="-4"/>
          <w:sz w:val="24"/>
          <w:highlight w:val="none"/>
        </w:rPr>
        <w:t>烟草行业回收政策范围内</w:t>
      </w:r>
      <w:r>
        <w:rPr>
          <w:rFonts w:hint="eastAsia" w:ascii="宋体" w:hAnsi="宋体"/>
          <w:spacing w:val="-4"/>
          <w:sz w:val="24"/>
          <w:highlight w:val="none"/>
        </w:rPr>
        <w:t>的卷烟纸箱；2.企业自用部分的卷烟纸箱。</w:t>
      </w:r>
    </w:p>
    <w:p w14:paraId="0DD5F96F">
      <w:pPr>
        <w:spacing w:line="360" w:lineRule="auto"/>
        <w:ind w:left="210" w:leftChars="100" w:right="210" w:rightChars="100" w:firstLine="464" w:firstLineChars="200"/>
        <w:rPr>
          <w:rFonts w:ascii="仿宋_GB2312" w:hAnsi="仿宋_GB2312" w:eastAsia="仿宋_GB2312" w:cs="仿宋_GB2312"/>
          <w:color w:val="000000"/>
          <w:kern w:val="0"/>
          <w:sz w:val="28"/>
          <w:szCs w:val="28"/>
          <w:highlight w:val="none"/>
          <w:lang w:bidi="zh-TW"/>
        </w:rPr>
      </w:pPr>
      <w:r>
        <w:rPr>
          <w:rFonts w:hint="eastAsia" w:ascii="宋体" w:hAnsi="宋体"/>
          <w:spacing w:val="-4"/>
          <w:sz w:val="24"/>
          <w:highlight w:val="none"/>
        </w:rPr>
        <w:t>甲方所售卷烟纸箱是报废物资，没有材质单、质量保证书、使用说明书等相关资料文件，甲方对所售卷烟纸箱物资不给予任何质量方面的担保或保证；乙方在使用、销售或以其他方式处置过程中，产生的质量、安全等问题，甲方不承担任何责任，由此产生一切的责任及后果由乙方自行承担。</w:t>
      </w:r>
    </w:p>
    <w:p w14:paraId="3831CA17">
      <w:pPr>
        <w:spacing w:line="480" w:lineRule="exact"/>
        <w:jc w:val="center"/>
        <w:rPr>
          <w:rFonts w:ascii="宋体" w:hAnsi="宋体"/>
          <w:b/>
          <w:spacing w:val="-4"/>
          <w:sz w:val="24"/>
          <w:highlight w:val="none"/>
        </w:rPr>
      </w:pPr>
      <w:r>
        <w:rPr>
          <w:rFonts w:hint="eastAsia" w:ascii="宋体" w:hAnsi="宋体"/>
          <w:b/>
          <w:spacing w:val="-4"/>
          <w:sz w:val="24"/>
          <w:highlight w:val="none"/>
        </w:rPr>
        <w:t>第三章   交付与费用</w:t>
      </w:r>
    </w:p>
    <w:p w14:paraId="7288D223">
      <w:pPr>
        <w:spacing w:line="480" w:lineRule="exact"/>
        <w:ind w:firstLine="465"/>
        <w:rPr>
          <w:rFonts w:ascii="宋体" w:hAnsi="宋体"/>
          <w:b/>
          <w:spacing w:val="-4"/>
          <w:sz w:val="24"/>
          <w:highlight w:val="none"/>
        </w:rPr>
      </w:pPr>
      <w:r>
        <w:rPr>
          <w:rFonts w:hint="eastAsia" w:ascii="宋体" w:hAnsi="宋体"/>
          <w:b/>
          <w:spacing w:val="-4"/>
          <w:sz w:val="24"/>
          <w:highlight w:val="none"/>
        </w:rPr>
        <w:t>第三条</w:t>
      </w:r>
      <w:r>
        <w:rPr>
          <w:rFonts w:ascii="宋体" w:hAnsi="宋体"/>
          <w:b/>
          <w:spacing w:val="-4"/>
          <w:sz w:val="24"/>
          <w:highlight w:val="none"/>
        </w:rPr>
        <w:t xml:space="preserve">  </w:t>
      </w:r>
      <w:r>
        <w:rPr>
          <w:rFonts w:hint="eastAsia" w:ascii="宋体" w:hAnsi="宋体"/>
          <w:b/>
          <w:spacing w:val="-4"/>
          <w:sz w:val="24"/>
          <w:highlight w:val="none"/>
        </w:rPr>
        <w:t>合同期限</w:t>
      </w:r>
    </w:p>
    <w:p w14:paraId="286C1954">
      <w:pPr>
        <w:snapToGrid w:val="0"/>
        <w:spacing w:line="360" w:lineRule="auto"/>
        <w:ind w:firstLine="464" w:firstLineChars="200"/>
        <w:jc w:val="left"/>
        <w:rPr>
          <w:rFonts w:hint="eastAsia"/>
          <w:highlight w:val="none"/>
        </w:rPr>
      </w:pPr>
      <w:r>
        <w:rPr>
          <w:rFonts w:hint="eastAsia" w:ascii="宋体" w:hAnsi="宋体"/>
          <w:spacing w:val="-4"/>
          <w:sz w:val="24"/>
          <w:highlight w:val="none"/>
        </w:rPr>
        <w:t>合同期为</w:t>
      </w:r>
      <w:r>
        <w:rPr>
          <w:rFonts w:hint="eastAsia" w:ascii="宋体" w:hAnsi="宋体"/>
          <w:spacing w:val="-4"/>
          <w:sz w:val="24"/>
          <w:highlight w:val="none"/>
          <w:u w:val="single"/>
          <w:lang w:val="en-US" w:eastAsia="zh-CN"/>
        </w:rPr>
        <w:t xml:space="preserve">           </w:t>
      </w:r>
      <w:r>
        <w:rPr>
          <w:rFonts w:hint="eastAsia" w:ascii="宋体" w:hAnsi="宋体"/>
          <w:spacing w:val="-4"/>
          <w:sz w:val="24"/>
          <w:highlight w:val="none"/>
        </w:rPr>
        <w:t>起至</w:t>
      </w:r>
      <w:r>
        <w:rPr>
          <w:rFonts w:hint="eastAsia" w:ascii="宋体" w:hAnsi="宋体"/>
          <w:spacing w:val="-4"/>
          <w:sz w:val="24"/>
          <w:highlight w:val="none"/>
          <w:u w:val="single"/>
          <w:lang w:val="en-US" w:eastAsia="zh-CN"/>
        </w:rPr>
        <w:t xml:space="preserve">         </w:t>
      </w:r>
      <w:r>
        <w:rPr>
          <w:rFonts w:hint="eastAsia" w:ascii="宋体" w:hAnsi="宋体"/>
          <w:spacing w:val="-4"/>
          <w:sz w:val="24"/>
          <w:highlight w:val="none"/>
          <w:u w:val="single"/>
        </w:rPr>
        <w:t>止</w:t>
      </w:r>
      <w:r>
        <w:rPr>
          <w:rFonts w:hint="eastAsia" w:ascii="宋体" w:hAnsi="宋体"/>
          <w:spacing w:val="-4"/>
          <w:sz w:val="24"/>
          <w:highlight w:val="none"/>
        </w:rPr>
        <w:t>。乙方需在合同签订后五个工作日内，一次性缴纳</w:t>
      </w:r>
      <w:r>
        <w:rPr>
          <w:rFonts w:hint="eastAsia" w:ascii="宋体" w:hAnsi="宋体"/>
          <w:spacing w:val="-4"/>
          <w:sz w:val="24"/>
          <w:highlight w:val="none"/>
          <w:u w:val="single"/>
        </w:rPr>
        <w:t>¥</w:t>
      </w:r>
      <w:r>
        <w:rPr>
          <w:rFonts w:hint="eastAsia" w:ascii="宋体" w:hAnsi="宋体"/>
          <w:spacing w:val="-4"/>
          <w:sz w:val="24"/>
          <w:highlight w:val="none"/>
          <w:u w:val="single"/>
          <w:lang w:val="en-US" w:eastAsia="zh-CN"/>
        </w:rPr>
        <w:t xml:space="preserve">    </w:t>
      </w:r>
      <w:r>
        <w:rPr>
          <w:rFonts w:hint="eastAsia" w:ascii="宋体" w:hAnsi="宋体"/>
          <w:spacing w:val="-4"/>
          <w:sz w:val="24"/>
          <w:highlight w:val="none"/>
          <w:u w:val="single"/>
        </w:rPr>
        <w:t xml:space="preserve"> </w:t>
      </w:r>
      <w:r>
        <w:rPr>
          <w:rFonts w:hint="eastAsia" w:ascii="宋体" w:hAnsi="宋体"/>
          <w:spacing w:val="-4"/>
          <w:sz w:val="24"/>
          <w:highlight w:val="none"/>
        </w:rPr>
        <w:t>元（人民币大写：</w:t>
      </w:r>
      <w:r>
        <w:rPr>
          <w:rFonts w:hint="eastAsia" w:ascii="宋体" w:hAnsi="宋体"/>
          <w:spacing w:val="-4"/>
          <w:sz w:val="24"/>
          <w:highlight w:val="none"/>
          <w:u w:val="single"/>
          <w:lang w:val="en-US" w:eastAsia="zh-CN"/>
        </w:rPr>
        <w:t xml:space="preserve">     </w:t>
      </w:r>
      <w:r>
        <w:rPr>
          <w:rFonts w:hint="eastAsia" w:ascii="宋体" w:hAnsi="宋体"/>
          <w:spacing w:val="-4"/>
          <w:sz w:val="24"/>
          <w:highlight w:val="none"/>
        </w:rPr>
        <w:t xml:space="preserve"> ）作为本合同的履约保证金。履约保证金不作购箱款使用，不赊账。</w:t>
      </w:r>
      <w:r>
        <w:rPr>
          <w:rFonts w:hint="eastAsia" w:ascii="宋体" w:hAnsi="宋体" w:cs="宋体"/>
          <w:bCs/>
          <w:sz w:val="24"/>
          <w:highlight w:val="none"/>
          <w:lang w:val="zh-CN"/>
        </w:rPr>
        <w:t>缴纳方式：银行汇票、转账支票、银行转账、银行保函</w:t>
      </w:r>
      <w:r>
        <w:rPr>
          <w:rFonts w:hint="eastAsia" w:ascii="宋体" w:hAnsi="宋体" w:cs="宋体"/>
          <w:bCs/>
          <w:sz w:val="24"/>
          <w:highlight w:val="none"/>
        </w:rPr>
        <w:t>，</w:t>
      </w:r>
      <w:r>
        <w:rPr>
          <w:rFonts w:hint="eastAsia" w:ascii="宋体" w:hAnsi="宋体" w:cs="宋体"/>
          <w:bCs/>
          <w:sz w:val="24"/>
          <w:highlight w:val="none"/>
          <w:lang w:val="zh-CN"/>
        </w:rPr>
        <w:t>缴纳至甲方指定账户（</w:t>
      </w:r>
      <w:r>
        <w:rPr>
          <w:rFonts w:hint="eastAsia" w:ascii="宋体" w:hAnsi="宋体" w:cs="宋体"/>
          <w:bCs/>
          <w:sz w:val="24"/>
          <w:highlight w:val="none"/>
        </w:rPr>
        <w:t>开户行：</w:t>
      </w:r>
      <w:r>
        <w:rPr>
          <w:rFonts w:hint="eastAsia" w:ascii="宋体" w:hAnsi="宋体" w:cs="宋体"/>
          <w:sz w:val="24"/>
          <w:highlight w:val="none"/>
          <w:u w:val="single"/>
        </w:rPr>
        <w:t>工行丽水分行营业部</w:t>
      </w:r>
      <w:r>
        <w:rPr>
          <w:rFonts w:hint="eastAsia" w:ascii="宋体" w:hAnsi="宋体" w:cs="宋体"/>
          <w:bCs/>
          <w:sz w:val="24"/>
          <w:highlight w:val="none"/>
        </w:rPr>
        <w:t>；开户账号：</w:t>
      </w:r>
      <w:r>
        <w:rPr>
          <w:rFonts w:hint="eastAsia" w:ascii="宋体" w:hAnsi="宋体" w:cs="宋体"/>
          <w:sz w:val="24"/>
          <w:highlight w:val="none"/>
          <w:u w:val="single"/>
        </w:rPr>
        <w:t>1210199209225001129</w:t>
      </w:r>
      <w:r>
        <w:rPr>
          <w:rFonts w:hint="eastAsia" w:ascii="宋体" w:hAnsi="宋体" w:cs="宋体"/>
          <w:bCs/>
          <w:sz w:val="24"/>
          <w:highlight w:val="none"/>
          <w:u w:val="single"/>
        </w:rPr>
        <w:t>）</w:t>
      </w:r>
      <w:r>
        <w:rPr>
          <w:rFonts w:hint="eastAsia" w:ascii="宋体" w:hAnsi="宋体" w:cs="宋体"/>
          <w:bCs/>
          <w:sz w:val="24"/>
          <w:highlight w:val="none"/>
          <w:lang w:val="zh-CN"/>
        </w:rPr>
        <w:t>；履约保证金退还：</w:t>
      </w:r>
      <w:r>
        <w:rPr>
          <w:rFonts w:hint="eastAsia" w:ascii="宋体" w:hAnsi="宋体" w:cs="宋体"/>
          <w:bCs/>
          <w:sz w:val="24"/>
          <w:highlight w:val="none"/>
        </w:rPr>
        <w:t>合同履约完毕，扣除乙方因违约时所需支付的违约金后，</w:t>
      </w:r>
      <w:r>
        <w:rPr>
          <w:rFonts w:hint="eastAsia" w:ascii="宋体" w:hAnsi="宋体" w:cs="宋体"/>
          <w:bCs/>
          <w:sz w:val="24"/>
          <w:highlight w:val="none"/>
          <w:u w:val="single"/>
        </w:rPr>
        <w:t xml:space="preserve"> 30 </w:t>
      </w:r>
      <w:r>
        <w:rPr>
          <w:rFonts w:hint="eastAsia" w:ascii="宋体" w:hAnsi="宋体" w:cs="宋体"/>
          <w:bCs/>
          <w:sz w:val="24"/>
          <w:highlight w:val="none"/>
        </w:rPr>
        <w:t>个日历天内退还履约保证金；履约保证金以银行保函以外方式缴纳的，一并退还按央行活期存款基准利率计算的银行同期存款利息。</w:t>
      </w:r>
    </w:p>
    <w:p w14:paraId="0C63FF37">
      <w:pPr>
        <w:spacing w:line="360" w:lineRule="auto"/>
        <w:ind w:right="210" w:rightChars="100" w:firstLine="466" w:firstLineChars="200"/>
        <w:jc w:val="left"/>
        <w:rPr>
          <w:rFonts w:ascii="宋体" w:hAnsi="宋体"/>
          <w:b/>
          <w:spacing w:val="-4"/>
          <w:sz w:val="24"/>
          <w:highlight w:val="none"/>
        </w:rPr>
      </w:pPr>
      <w:r>
        <w:rPr>
          <w:rFonts w:hint="eastAsia" w:ascii="宋体" w:hAnsi="宋体"/>
          <w:b/>
          <w:spacing w:val="-4"/>
          <w:sz w:val="24"/>
          <w:highlight w:val="none"/>
        </w:rPr>
        <w:t>第四条</w:t>
      </w:r>
      <w:r>
        <w:rPr>
          <w:rFonts w:ascii="宋体" w:hAnsi="宋体"/>
          <w:b/>
          <w:spacing w:val="-4"/>
          <w:sz w:val="24"/>
          <w:highlight w:val="none"/>
        </w:rPr>
        <w:t xml:space="preserve">  </w:t>
      </w:r>
      <w:r>
        <w:rPr>
          <w:rFonts w:hint="eastAsia" w:ascii="宋体" w:hAnsi="宋体"/>
          <w:b/>
          <w:spacing w:val="-4"/>
          <w:sz w:val="24"/>
          <w:highlight w:val="none"/>
        </w:rPr>
        <w:t>交付</w:t>
      </w:r>
    </w:p>
    <w:p w14:paraId="3B6F2DF7">
      <w:pPr>
        <w:spacing w:line="480" w:lineRule="exact"/>
        <w:ind w:firstLine="454" w:firstLineChars="196"/>
        <w:rPr>
          <w:rFonts w:ascii="宋体" w:hAnsi="宋体"/>
          <w:spacing w:val="-4"/>
          <w:sz w:val="24"/>
          <w:highlight w:val="none"/>
        </w:rPr>
      </w:pPr>
      <w:r>
        <w:rPr>
          <w:rFonts w:hint="eastAsia" w:ascii="宋体" w:hAnsi="宋体"/>
          <w:spacing w:val="-4"/>
          <w:sz w:val="24"/>
          <w:highlight w:val="none"/>
        </w:rPr>
        <w:t>（一）交货时间：</w:t>
      </w:r>
      <w:r>
        <w:rPr>
          <w:rFonts w:hint="eastAsia" w:ascii="宋体" w:hAnsi="宋体"/>
          <w:spacing w:val="-4"/>
          <w:sz w:val="24"/>
          <w:highlight w:val="none"/>
          <w:u w:val="single"/>
        </w:rPr>
        <w:t>按《</w:t>
      </w:r>
      <w:r>
        <w:rPr>
          <w:rFonts w:hint="eastAsia" w:hAnsi="宋体" w:cs="宋体"/>
          <w:bCs/>
          <w:sz w:val="24"/>
          <w:highlight w:val="none"/>
          <w:u w:val="single"/>
        </w:rPr>
        <w:t>单次卷烟纸箱回收销售单</w:t>
      </w:r>
      <w:r>
        <w:rPr>
          <w:rFonts w:hint="eastAsia" w:ascii="宋体" w:hAnsi="宋体"/>
          <w:spacing w:val="-4"/>
          <w:sz w:val="24"/>
          <w:highlight w:val="none"/>
          <w:u w:val="single"/>
        </w:rPr>
        <w:t xml:space="preserve">》约定时间交货 </w:t>
      </w:r>
      <w:r>
        <w:rPr>
          <w:rFonts w:hint="eastAsia" w:ascii="宋体" w:hAnsi="宋体"/>
          <w:spacing w:val="-4"/>
          <w:sz w:val="24"/>
          <w:highlight w:val="none"/>
        </w:rPr>
        <w:t xml:space="preserve">。 </w:t>
      </w:r>
    </w:p>
    <w:p w14:paraId="52DDC073">
      <w:pPr>
        <w:spacing w:line="480" w:lineRule="exact"/>
        <w:ind w:firstLine="454" w:firstLineChars="196"/>
        <w:rPr>
          <w:rFonts w:ascii="宋体" w:hAnsi="宋体"/>
          <w:spacing w:val="-4"/>
          <w:sz w:val="24"/>
          <w:highlight w:val="none"/>
        </w:rPr>
      </w:pPr>
      <w:r>
        <w:rPr>
          <w:rFonts w:hint="eastAsia" w:ascii="宋体" w:hAnsi="宋体"/>
          <w:spacing w:val="-4"/>
          <w:sz w:val="24"/>
          <w:highlight w:val="none"/>
        </w:rPr>
        <w:t>（二）交货地点：</w:t>
      </w:r>
      <w:r>
        <w:rPr>
          <w:rFonts w:hint="eastAsia" w:ascii="宋体" w:hAnsi="宋体"/>
          <w:bCs/>
          <w:sz w:val="24"/>
          <w:highlight w:val="none"/>
          <w:u w:val="single"/>
        </w:rPr>
        <w:t>浙江省烟草公司丽水市公司卷烟配送中心（丽水市</w:t>
      </w:r>
      <w:r>
        <w:rPr>
          <w:rFonts w:hint="eastAsia" w:ascii="宋体" w:hAnsi="宋体"/>
          <w:spacing w:val="-4"/>
          <w:sz w:val="24"/>
          <w:highlight w:val="none"/>
          <w:u w:val="single"/>
        </w:rPr>
        <w:t xml:space="preserve">莲都区飞雨路157号） </w:t>
      </w:r>
      <w:r>
        <w:rPr>
          <w:rFonts w:hint="eastAsia" w:ascii="宋体" w:hAnsi="宋体"/>
          <w:spacing w:val="-4"/>
          <w:sz w:val="24"/>
          <w:highlight w:val="none"/>
        </w:rPr>
        <w:t>。</w:t>
      </w:r>
    </w:p>
    <w:p w14:paraId="1D49001A">
      <w:pPr>
        <w:spacing w:line="480" w:lineRule="exact"/>
        <w:ind w:firstLine="454" w:firstLineChars="196"/>
        <w:rPr>
          <w:rFonts w:ascii="宋体" w:hAnsi="宋体"/>
          <w:spacing w:val="-4"/>
          <w:sz w:val="24"/>
          <w:highlight w:val="none"/>
        </w:rPr>
      </w:pPr>
      <w:r>
        <w:rPr>
          <w:rFonts w:hint="eastAsia" w:ascii="宋体" w:hAnsi="宋体"/>
          <w:spacing w:val="-4"/>
          <w:sz w:val="24"/>
          <w:highlight w:val="none"/>
        </w:rPr>
        <w:t>（三）包装方式：</w:t>
      </w:r>
      <w:r>
        <w:rPr>
          <w:rFonts w:hint="eastAsia" w:ascii="宋体" w:hAnsi="宋体"/>
          <w:spacing w:val="-4"/>
          <w:sz w:val="24"/>
          <w:highlight w:val="none"/>
          <w:u w:val="single"/>
        </w:rPr>
        <w:t xml:space="preserve"> 码盘 </w:t>
      </w:r>
      <w:r>
        <w:rPr>
          <w:rFonts w:hint="eastAsia" w:ascii="宋体" w:hAnsi="宋体"/>
          <w:spacing w:val="-4"/>
          <w:sz w:val="24"/>
          <w:highlight w:val="none"/>
        </w:rPr>
        <w:t>。</w:t>
      </w:r>
    </w:p>
    <w:p w14:paraId="623A835D">
      <w:pPr>
        <w:spacing w:line="480" w:lineRule="exact"/>
        <w:ind w:firstLine="464" w:firstLineChars="200"/>
        <w:rPr>
          <w:rFonts w:ascii="宋体" w:hAnsi="宋体"/>
          <w:spacing w:val="-4"/>
          <w:sz w:val="24"/>
          <w:highlight w:val="none"/>
        </w:rPr>
      </w:pPr>
      <w:r>
        <w:rPr>
          <w:rFonts w:hint="eastAsia" w:ascii="宋体" w:hAnsi="宋体"/>
          <w:spacing w:val="-4"/>
          <w:sz w:val="24"/>
          <w:highlight w:val="none"/>
        </w:rPr>
        <w:t>（四）</w:t>
      </w:r>
      <w:r>
        <w:rPr>
          <w:rFonts w:hint="eastAsia" w:ascii="宋体" w:hAnsi="宋体" w:cs="微软雅黑"/>
          <w:spacing w:val="-7"/>
          <w:kern w:val="0"/>
          <w:sz w:val="24"/>
          <w:highlight w:val="none"/>
        </w:rPr>
        <w:t>整理方式：</w:t>
      </w:r>
      <w:r>
        <w:rPr>
          <w:rFonts w:hint="eastAsia" w:ascii="宋体" w:hAnsi="宋体" w:cs="微软雅黑"/>
          <w:spacing w:val="-7"/>
          <w:kern w:val="0"/>
          <w:sz w:val="24"/>
          <w:highlight w:val="none"/>
          <w:u w:val="single"/>
        </w:rPr>
        <w:t xml:space="preserve"> </w:t>
      </w:r>
      <w:r>
        <w:rPr>
          <w:rFonts w:ascii="宋体" w:hAnsi="宋体" w:cs="微软雅黑"/>
          <w:spacing w:val="-7"/>
          <w:kern w:val="0"/>
          <w:sz w:val="24"/>
          <w:highlight w:val="none"/>
          <w:u w:val="single"/>
        </w:rPr>
        <w:t>乙</w:t>
      </w:r>
      <w:r>
        <w:rPr>
          <w:rFonts w:hint="eastAsia" w:ascii="宋体" w:hAnsi="宋体" w:cs="微软雅黑"/>
          <w:spacing w:val="-7"/>
          <w:kern w:val="0"/>
          <w:sz w:val="24"/>
          <w:highlight w:val="none"/>
          <w:u w:val="single"/>
        </w:rPr>
        <w:t>方</w:t>
      </w:r>
      <w:r>
        <w:rPr>
          <w:rFonts w:ascii="宋体" w:hAnsi="宋体" w:cs="微软雅黑"/>
          <w:spacing w:val="-7"/>
          <w:kern w:val="0"/>
          <w:sz w:val="24"/>
          <w:highlight w:val="none"/>
          <w:u w:val="single"/>
        </w:rPr>
        <w:t>派人员</w:t>
      </w:r>
      <w:r>
        <w:rPr>
          <w:rFonts w:hint="eastAsia" w:ascii="宋体" w:hAnsi="宋体" w:cs="微软雅黑"/>
          <w:spacing w:val="-7"/>
          <w:kern w:val="0"/>
          <w:sz w:val="24"/>
          <w:highlight w:val="none"/>
          <w:u w:val="single"/>
        </w:rPr>
        <w:t>负责</w:t>
      </w:r>
      <w:r>
        <w:rPr>
          <w:rFonts w:ascii="宋体" w:hAnsi="宋体" w:cs="微软雅黑"/>
          <w:spacing w:val="-7"/>
          <w:kern w:val="0"/>
          <w:sz w:val="24"/>
          <w:highlight w:val="none"/>
          <w:u w:val="single"/>
        </w:rPr>
        <w:t>包装</w:t>
      </w:r>
      <w:r>
        <w:rPr>
          <w:rFonts w:hint="eastAsia" w:ascii="宋体" w:hAnsi="宋体" w:cs="微软雅黑"/>
          <w:spacing w:val="-7"/>
          <w:kern w:val="0"/>
          <w:sz w:val="24"/>
          <w:highlight w:val="none"/>
          <w:u w:val="single"/>
        </w:rPr>
        <w:t>箱分</w:t>
      </w:r>
      <w:r>
        <w:rPr>
          <w:rFonts w:hint="eastAsia" w:ascii="宋体" w:hAnsi="宋体" w:cs="微软雅黑"/>
          <w:spacing w:val="-6"/>
          <w:kern w:val="0"/>
          <w:sz w:val="24"/>
          <w:highlight w:val="none"/>
          <w:u w:val="single"/>
        </w:rPr>
        <w:t xml:space="preserve">拣、收集、整理 </w:t>
      </w:r>
      <w:r>
        <w:rPr>
          <w:rFonts w:hint="eastAsia" w:ascii="宋体" w:hAnsi="宋体" w:cs="微软雅黑"/>
          <w:spacing w:val="-6"/>
          <w:kern w:val="0"/>
          <w:sz w:val="24"/>
          <w:highlight w:val="none"/>
        </w:rPr>
        <w:t>。</w:t>
      </w:r>
    </w:p>
    <w:p w14:paraId="3AAA7C0A">
      <w:pPr>
        <w:spacing w:line="480" w:lineRule="exact"/>
        <w:ind w:firstLine="454" w:firstLineChars="196"/>
        <w:rPr>
          <w:rFonts w:ascii="宋体" w:hAnsi="宋体"/>
          <w:spacing w:val="-4"/>
          <w:sz w:val="24"/>
          <w:highlight w:val="none"/>
        </w:rPr>
      </w:pPr>
      <w:r>
        <w:rPr>
          <w:rFonts w:hint="eastAsia" w:ascii="宋体" w:hAnsi="宋体"/>
          <w:spacing w:val="-4"/>
          <w:sz w:val="24"/>
          <w:highlight w:val="none"/>
        </w:rPr>
        <w:t>（五）运输方式：</w:t>
      </w:r>
      <w:r>
        <w:rPr>
          <w:rFonts w:hint="eastAsia" w:ascii="宋体" w:hAnsi="宋体"/>
          <w:spacing w:val="-4"/>
          <w:sz w:val="24"/>
          <w:highlight w:val="none"/>
          <w:u w:val="single"/>
        </w:rPr>
        <w:t xml:space="preserve">乙方自提，运费乙方承担，货物风险自甲方交付给乙方所委托的承运人时转移 </w:t>
      </w:r>
      <w:r>
        <w:rPr>
          <w:rFonts w:hint="eastAsia" w:ascii="宋体" w:hAnsi="宋体"/>
          <w:spacing w:val="-4"/>
          <w:sz w:val="24"/>
          <w:highlight w:val="none"/>
        </w:rPr>
        <w:t>。</w:t>
      </w:r>
    </w:p>
    <w:p w14:paraId="0A10B09B">
      <w:pPr>
        <w:spacing w:line="360" w:lineRule="auto"/>
        <w:ind w:right="210" w:rightChars="100" w:firstLine="466" w:firstLineChars="200"/>
        <w:jc w:val="left"/>
        <w:rPr>
          <w:rFonts w:ascii="宋体" w:hAnsi="宋体"/>
          <w:spacing w:val="-4"/>
          <w:sz w:val="24"/>
          <w:highlight w:val="none"/>
        </w:rPr>
      </w:pPr>
      <w:r>
        <w:rPr>
          <w:rFonts w:hint="eastAsia" w:ascii="宋体" w:hAnsi="宋体"/>
          <w:b/>
          <w:spacing w:val="-4"/>
          <w:sz w:val="24"/>
          <w:highlight w:val="none"/>
        </w:rPr>
        <w:t>第五条</w:t>
      </w:r>
      <w:r>
        <w:rPr>
          <w:rFonts w:hint="eastAsia" w:ascii="宋体" w:hAnsi="宋体"/>
          <w:spacing w:val="-4"/>
          <w:sz w:val="24"/>
          <w:highlight w:val="none"/>
        </w:rPr>
        <w:t xml:space="preserve">  </w:t>
      </w:r>
      <w:r>
        <w:rPr>
          <w:rFonts w:hint="eastAsia" w:ascii="宋体" w:hAnsi="宋体"/>
          <w:b/>
          <w:spacing w:val="-4"/>
          <w:sz w:val="24"/>
          <w:highlight w:val="none"/>
        </w:rPr>
        <w:t>合同价款</w:t>
      </w:r>
    </w:p>
    <w:p w14:paraId="1D756DE4">
      <w:pPr>
        <w:spacing w:line="360" w:lineRule="auto"/>
        <w:ind w:right="210" w:rightChars="100" w:firstLine="464" w:firstLineChars="200"/>
        <w:jc w:val="left"/>
        <w:rPr>
          <w:rFonts w:ascii="宋体" w:hAnsi="宋体"/>
          <w:spacing w:val="-4"/>
          <w:sz w:val="24"/>
          <w:highlight w:val="none"/>
        </w:rPr>
      </w:pPr>
      <w:r>
        <w:rPr>
          <w:rFonts w:hint="eastAsia" w:ascii="宋体" w:hAnsi="宋体"/>
          <w:spacing w:val="-4"/>
          <w:sz w:val="24"/>
          <w:highlight w:val="none"/>
        </w:rPr>
        <w:t xml:space="preserve">本合同为非总价合同：标准箱（伍拾条装卷烟外包装箱）单价 </w:t>
      </w:r>
      <w:r>
        <w:rPr>
          <w:rFonts w:hint="eastAsia" w:ascii="宋体" w:hAnsi="宋体"/>
          <w:spacing w:val="-4"/>
          <w:sz w:val="24"/>
          <w:highlight w:val="none"/>
          <w:u w:val="single"/>
        </w:rPr>
        <w:t xml:space="preserve"> </w:t>
      </w:r>
      <w:r>
        <w:rPr>
          <w:rFonts w:hint="eastAsia" w:ascii="宋体" w:hAnsi="宋体"/>
          <w:spacing w:val="-4"/>
          <w:sz w:val="24"/>
          <w:highlight w:val="none"/>
          <w:u w:val="single"/>
          <w:lang w:val="en-US" w:eastAsia="zh-CN"/>
        </w:rPr>
        <w:t xml:space="preserve">   </w:t>
      </w:r>
      <w:r>
        <w:rPr>
          <w:rFonts w:hint="eastAsia" w:ascii="宋体" w:hAnsi="宋体"/>
          <w:spacing w:val="-4"/>
          <w:sz w:val="24"/>
          <w:highlight w:val="none"/>
          <w:u w:val="single"/>
        </w:rPr>
        <w:t xml:space="preserve"> </w:t>
      </w:r>
      <w:r>
        <w:rPr>
          <w:rFonts w:hint="eastAsia" w:ascii="宋体" w:hAnsi="宋体"/>
          <w:spacing w:val="-4"/>
          <w:sz w:val="24"/>
          <w:highlight w:val="none"/>
        </w:rPr>
        <w:t>元 /只（尺寸小于标准箱的小纸箱二只折算为标准箱一只计算）,金额按实际提货数量结算。</w:t>
      </w:r>
    </w:p>
    <w:p w14:paraId="04C9A721">
      <w:pPr>
        <w:spacing w:line="360" w:lineRule="auto"/>
        <w:ind w:right="210" w:rightChars="100" w:firstLine="464" w:firstLineChars="200"/>
        <w:jc w:val="left"/>
        <w:rPr>
          <w:rFonts w:ascii="宋体" w:hAnsi="宋体"/>
          <w:spacing w:val="-4"/>
          <w:sz w:val="24"/>
          <w:highlight w:val="none"/>
        </w:rPr>
      </w:pPr>
      <w:r>
        <w:rPr>
          <w:rFonts w:hint="eastAsia" w:ascii="宋体" w:hAnsi="宋体"/>
          <w:spacing w:val="-4"/>
          <w:sz w:val="24"/>
          <w:highlight w:val="none"/>
        </w:rPr>
        <w:t>注：①市场价格浮动的风险由乙方承担。②卷烟纸箱回收销售过程中产生的搬运纸箱等一切与销售卷烟纸箱有关的包括但不限于劳务费用等由乙方自行承担。</w:t>
      </w:r>
    </w:p>
    <w:p w14:paraId="7BE5AEC0">
      <w:pPr>
        <w:spacing w:line="480" w:lineRule="exact"/>
        <w:ind w:firstLine="450" w:firstLineChars="193"/>
        <w:rPr>
          <w:rFonts w:ascii="宋体" w:hAnsi="宋体"/>
          <w:b/>
          <w:spacing w:val="-4"/>
          <w:sz w:val="24"/>
          <w:highlight w:val="none"/>
        </w:rPr>
      </w:pPr>
      <w:r>
        <w:rPr>
          <w:rFonts w:hint="eastAsia" w:ascii="宋体" w:hAnsi="宋体"/>
          <w:b/>
          <w:spacing w:val="-4"/>
          <w:sz w:val="24"/>
          <w:highlight w:val="none"/>
        </w:rPr>
        <w:t>第六条  支付方式</w:t>
      </w:r>
    </w:p>
    <w:p w14:paraId="46B87174">
      <w:pPr>
        <w:spacing w:line="360" w:lineRule="auto"/>
        <w:ind w:left="210" w:leftChars="100" w:right="210" w:rightChars="100" w:firstLine="464" w:firstLineChars="200"/>
        <w:jc w:val="left"/>
        <w:rPr>
          <w:rFonts w:ascii="宋体" w:hAnsi="宋体"/>
          <w:spacing w:val="-4"/>
          <w:sz w:val="24"/>
          <w:highlight w:val="none"/>
        </w:rPr>
      </w:pPr>
      <w:r>
        <w:rPr>
          <w:rFonts w:hint="eastAsia" w:ascii="宋体" w:hAnsi="宋体"/>
          <w:spacing w:val="-4"/>
          <w:sz w:val="24"/>
          <w:highlight w:val="none"/>
        </w:rPr>
        <w:t>（一）支付方式为按次支付：双方在每次提货前签订《单次卷烟纸箱回收销售单》</w:t>
      </w:r>
      <w:r>
        <w:rPr>
          <w:rFonts w:ascii="宋体" w:hAnsi="宋体"/>
          <w:spacing w:val="-4"/>
          <w:sz w:val="24"/>
          <w:highlight w:val="none"/>
        </w:rPr>
        <w:t>（附件3）</w:t>
      </w:r>
      <w:r>
        <w:rPr>
          <w:rFonts w:hint="eastAsia" w:ascii="宋体" w:hAnsi="宋体"/>
          <w:spacing w:val="-4"/>
          <w:sz w:val="24"/>
          <w:highlight w:val="none"/>
        </w:rPr>
        <w:t>，以《单次卷烟纸箱回收销售单》确定的纸箱数量作为单次费用结算的依据。</w:t>
      </w:r>
    </w:p>
    <w:p w14:paraId="38EA8F71">
      <w:pPr>
        <w:spacing w:line="360" w:lineRule="auto"/>
        <w:ind w:left="210" w:leftChars="100" w:right="210" w:rightChars="100" w:firstLine="464" w:firstLineChars="200"/>
        <w:jc w:val="left"/>
        <w:rPr>
          <w:rFonts w:ascii="宋体" w:hAnsi="宋体"/>
          <w:spacing w:val="-4"/>
          <w:sz w:val="24"/>
          <w:highlight w:val="none"/>
        </w:rPr>
      </w:pPr>
      <w:r>
        <w:rPr>
          <w:rFonts w:hint="eastAsia" w:ascii="宋体" w:hAnsi="宋体"/>
          <w:spacing w:val="-4"/>
          <w:sz w:val="24"/>
          <w:highlight w:val="none"/>
        </w:rPr>
        <w:t>（二）乙方</w:t>
      </w:r>
      <w:r>
        <w:rPr>
          <w:rFonts w:ascii="宋体" w:hAnsi="宋体"/>
          <w:spacing w:val="-4"/>
          <w:sz w:val="24"/>
          <w:highlight w:val="none"/>
        </w:rPr>
        <w:t>根据</w:t>
      </w:r>
      <w:r>
        <w:rPr>
          <w:rFonts w:hint="eastAsia" w:ascii="宋体" w:hAnsi="宋体"/>
          <w:spacing w:val="-4"/>
          <w:sz w:val="24"/>
          <w:highlight w:val="none"/>
        </w:rPr>
        <w:t>《单次卷烟纸箱回收销售单》</w:t>
      </w:r>
      <w:r>
        <w:rPr>
          <w:rFonts w:ascii="宋体" w:hAnsi="宋体"/>
          <w:spacing w:val="-4"/>
          <w:sz w:val="24"/>
          <w:highlight w:val="none"/>
        </w:rPr>
        <w:t>双方签</w:t>
      </w:r>
      <w:r>
        <w:rPr>
          <w:rFonts w:hint="eastAsia" w:ascii="宋体" w:hAnsi="宋体"/>
          <w:spacing w:val="-4"/>
          <w:sz w:val="24"/>
          <w:highlight w:val="none"/>
        </w:rPr>
        <w:t>名</w:t>
      </w:r>
      <w:r>
        <w:rPr>
          <w:rFonts w:ascii="宋体" w:hAnsi="宋体"/>
          <w:spacing w:val="-4"/>
          <w:sz w:val="24"/>
          <w:highlight w:val="none"/>
        </w:rPr>
        <w:t>认可的数量，一次性</w:t>
      </w:r>
      <w:r>
        <w:rPr>
          <w:rFonts w:hint="eastAsia" w:ascii="宋体" w:hAnsi="宋体"/>
          <w:spacing w:val="-4"/>
          <w:sz w:val="24"/>
          <w:highlight w:val="none"/>
        </w:rPr>
        <w:t>支付</w:t>
      </w:r>
      <w:r>
        <w:rPr>
          <w:rFonts w:ascii="宋体" w:hAnsi="宋体"/>
          <w:spacing w:val="-4"/>
          <w:sz w:val="24"/>
          <w:highlight w:val="none"/>
        </w:rPr>
        <w:t>纸箱的回收款项</w:t>
      </w:r>
      <w:r>
        <w:rPr>
          <w:rFonts w:hint="eastAsia" w:ascii="宋体" w:hAnsi="宋体"/>
          <w:spacing w:val="-4"/>
          <w:sz w:val="24"/>
          <w:highlight w:val="none"/>
        </w:rPr>
        <w:t>，经甲方确认后提货。收到款项后，甲方应提供</w:t>
      </w:r>
      <w:r>
        <w:rPr>
          <w:rFonts w:ascii="宋体" w:hAnsi="宋体"/>
          <w:spacing w:val="-4"/>
          <w:sz w:val="24"/>
          <w:highlight w:val="none"/>
        </w:rPr>
        <w:t>合法</w:t>
      </w:r>
      <w:r>
        <w:rPr>
          <w:rFonts w:hint="eastAsia" w:ascii="宋体" w:hAnsi="宋体"/>
          <w:spacing w:val="-4"/>
          <w:sz w:val="24"/>
          <w:highlight w:val="none"/>
        </w:rPr>
        <w:t>、</w:t>
      </w:r>
      <w:r>
        <w:rPr>
          <w:rFonts w:ascii="宋体" w:hAnsi="宋体"/>
          <w:spacing w:val="-4"/>
          <w:sz w:val="24"/>
          <w:highlight w:val="none"/>
        </w:rPr>
        <w:t>有效的</w:t>
      </w:r>
      <w:r>
        <w:rPr>
          <w:rFonts w:hint="eastAsia" w:ascii="宋体" w:hAnsi="宋体"/>
          <w:spacing w:val="-4"/>
          <w:sz w:val="24"/>
          <w:highlight w:val="none"/>
        </w:rPr>
        <w:t>发票</w:t>
      </w:r>
      <w:r>
        <w:rPr>
          <w:rFonts w:ascii="宋体" w:hAnsi="宋体"/>
          <w:spacing w:val="-4"/>
          <w:sz w:val="24"/>
          <w:highlight w:val="none"/>
        </w:rPr>
        <w:t>。</w:t>
      </w:r>
    </w:p>
    <w:p w14:paraId="61F3298F">
      <w:pPr>
        <w:spacing w:line="360" w:lineRule="auto"/>
        <w:ind w:left="210" w:leftChars="100" w:right="210" w:rightChars="100" w:firstLine="482" w:firstLineChars="200"/>
        <w:jc w:val="center"/>
        <w:rPr>
          <w:rFonts w:ascii="宋体" w:hAnsi="宋体"/>
          <w:b/>
          <w:sz w:val="24"/>
          <w:highlight w:val="none"/>
        </w:rPr>
      </w:pPr>
      <w:r>
        <w:rPr>
          <w:rFonts w:hint="eastAsia" w:ascii="宋体" w:hAnsi="宋体"/>
          <w:b/>
          <w:sz w:val="24"/>
          <w:highlight w:val="none"/>
        </w:rPr>
        <w:t>第四</w:t>
      </w:r>
      <w:r>
        <w:rPr>
          <w:rFonts w:ascii="宋体" w:hAnsi="宋体"/>
          <w:b/>
          <w:sz w:val="24"/>
          <w:highlight w:val="none"/>
        </w:rPr>
        <w:t>章</w:t>
      </w:r>
      <w:r>
        <w:rPr>
          <w:rFonts w:hint="eastAsia" w:ascii="宋体" w:hAnsi="宋体"/>
          <w:b/>
          <w:sz w:val="24"/>
          <w:highlight w:val="none"/>
        </w:rPr>
        <w:t xml:space="preserve">  双方权利义务</w:t>
      </w:r>
    </w:p>
    <w:p w14:paraId="45690EFC">
      <w:pPr>
        <w:spacing w:line="480" w:lineRule="exact"/>
        <w:ind w:firstLine="450" w:firstLineChars="193"/>
        <w:rPr>
          <w:rFonts w:ascii="宋体" w:hAnsi="宋体"/>
          <w:b/>
          <w:spacing w:val="-4"/>
          <w:sz w:val="24"/>
          <w:highlight w:val="none"/>
        </w:rPr>
      </w:pPr>
      <w:r>
        <w:rPr>
          <w:rFonts w:hint="eastAsia" w:ascii="宋体" w:hAnsi="宋体"/>
          <w:b/>
          <w:spacing w:val="-4"/>
          <w:sz w:val="24"/>
          <w:highlight w:val="none"/>
        </w:rPr>
        <w:t>第七条 甲方权利义务</w:t>
      </w:r>
    </w:p>
    <w:p w14:paraId="624C0291">
      <w:pPr>
        <w:spacing w:line="360" w:lineRule="auto"/>
        <w:ind w:left="210" w:leftChars="100" w:right="210" w:rightChars="100" w:firstLine="464" w:firstLineChars="200"/>
        <w:jc w:val="left"/>
        <w:rPr>
          <w:rFonts w:ascii="宋体" w:hAnsi="宋体"/>
          <w:spacing w:val="-4"/>
          <w:sz w:val="24"/>
          <w:highlight w:val="none"/>
        </w:rPr>
      </w:pPr>
      <w:r>
        <w:rPr>
          <w:rFonts w:hint="eastAsia" w:ascii="宋体" w:hAnsi="宋体"/>
          <w:spacing w:val="-4"/>
          <w:sz w:val="24"/>
          <w:highlight w:val="none"/>
        </w:rPr>
        <w:t>（一）甲方有权按照合同的约定向乙方收取费用。</w:t>
      </w:r>
    </w:p>
    <w:p w14:paraId="4D32EDBF">
      <w:pPr>
        <w:spacing w:line="360" w:lineRule="auto"/>
        <w:ind w:left="210" w:leftChars="100" w:right="210" w:rightChars="100" w:firstLine="464" w:firstLineChars="200"/>
        <w:jc w:val="left"/>
        <w:rPr>
          <w:rFonts w:ascii="宋体" w:hAnsi="宋体"/>
          <w:spacing w:val="-4"/>
          <w:sz w:val="24"/>
          <w:highlight w:val="none"/>
        </w:rPr>
      </w:pPr>
      <w:r>
        <w:rPr>
          <w:rFonts w:hint="eastAsia" w:ascii="宋体" w:hAnsi="宋体"/>
          <w:spacing w:val="-4"/>
          <w:sz w:val="24"/>
          <w:highlight w:val="none"/>
        </w:rPr>
        <w:t>（二）甲方有权对乙方人员在甲方办公场所内的卷烟纸箱回收工作进行监督，维护甲方单位正常的工作管理制度及安全防护制度。</w:t>
      </w:r>
    </w:p>
    <w:p w14:paraId="080B8394">
      <w:pPr>
        <w:spacing w:line="360" w:lineRule="auto"/>
        <w:ind w:right="210" w:rightChars="100"/>
        <w:jc w:val="left"/>
        <w:rPr>
          <w:rFonts w:ascii="宋体" w:hAnsi="宋体"/>
          <w:spacing w:val="-4"/>
          <w:sz w:val="24"/>
          <w:highlight w:val="none"/>
        </w:rPr>
      </w:pPr>
      <w:r>
        <w:rPr>
          <w:rFonts w:ascii="宋体" w:hAnsi="宋体"/>
          <w:spacing w:val="-4"/>
          <w:sz w:val="24"/>
          <w:highlight w:val="none"/>
        </w:rPr>
        <w:t xml:space="preserve">      （三）销售旺季期间，甲方有权另行增加提货次数，乙方须予以配合，按甲方要求及时完成</w:t>
      </w:r>
      <w:r>
        <w:rPr>
          <w:rFonts w:hint="eastAsia" w:ascii="宋体" w:hAnsi="宋体"/>
          <w:spacing w:val="-4"/>
          <w:sz w:val="24"/>
          <w:highlight w:val="none"/>
        </w:rPr>
        <w:t>卷烟纸箱</w:t>
      </w:r>
      <w:r>
        <w:rPr>
          <w:rFonts w:ascii="宋体" w:hAnsi="宋体"/>
          <w:spacing w:val="-4"/>
          <w:sz w:val="24"/>
          <w:highlight w:val="none"/>
        </w:rPr>
        <w:t>提货清场。</w:t>
      </w:r>
    </w:p>
    <w:p w14:paraId="5316EE01">
      <w:pPr>
        <w:spacing w:line="480" w:lineRule="exact"/>
        <w:ind w:firstLine="450" w:firstLineChars="193"/>
        <w:rPr>
          <w:rFonts w:ascii="宋体" w:hAnsi="宋体"/>
          <w:b/>
          <w:spacing w:val="-4"/>
          <w:sz w:val="24"/>
          <w:highlight w:val="none"/>
        </w:rPr>
      </w:pPr>
      <w:r>
        <w:rPr>
          <w:rFonts w:hint="eastAsia" w:ascii="宋体" w:hAnsi="宋体"/>
          <w:b/>
          <w:spacing w:val="-4"/>
          <w:sz w:val="24"/>
          <w:highlight w:val="none"/>
        </w:rPr>
        <w:t>第八条  乙方权利义务</w:t>
      </w:r>
    </w:p>
    <w:p w14:paraId="0AECAEE2">
      <w:pPr>
        <w:spacing w:line="360" w:lineRule="auto"/>
        <w:ind w:firstLine="480" w:firstLineChars="200"/>
        <w:rPr>
          <w:rFonts w:ascii="宋体" w:hAnsi="宋体"/>
          <w:sz w:val="24"/>
          <w:highlight w:val="none"/>
        </w:rPr>
      </w:pPr>
      <w:r>
        <w:rPr>
          <w:rFonts w:hint="eastAsia" w:ascii="宋体" w:hAnsi="宋体"/>
          <w:sz w:val="24"/>
          <w:highlight w:val="none"/>
        </w:rPr>
        <w:t>（一）卷烟纸箱的数量</w:t>
      </w:r>
      <w:r>
        <w:rPr>
          <w:rFonts w:ascii="宋体" w:hAnsi="宋体"/>
          <w:sz w:val="24"/>
          <w:highlight w:val="none"/>
        </w:rPr>
        <w:t>甲乙双方</w:t>
      </w:r>
      <w:r>
        <w:rPr>
          <w:rFonts w:hint="eastAsia" w:ascii="宋体" w:hAnsi="宋体"/>
          <w:sz w:val="24"/>
          <w:highlight w:val="none"/>
        </w:rPr>
        <w:t>应在提货现场当场清点，核对无误后双方在《单次卷烟纸箱回收销售单》上签名确认，</w:t>
      </w:r>
      <w:r>
        <w:rPr>
          <w:rFonts w:ascii="宋体" w:hAnsi="宋体"/>
          <w:sz w:val="24"/>
          <w:highlight w:val="none"/>
        </w:rPr>
        <w:t>乙</w:t>
      </w:r>
      <w:r>
        <w:rPr>
          <w:rFonts w:hint="eastAsia" w:ascii="宋体" w:hAnsi="宋体"/>
          <w:sz w:val="24"/>
          <w:highlight w:val="none"/>
        </w:rPr>
        <w:t>方根据双方确认的纸箱回收数量付款，提货后乙方负责在离开提货地点前清理好提货现场。</w:t>
      </w:r>
    </w:p>
    <w:p w14:paraId="31E9B484">
      <w:pPr>
        <w:spacing w:line="360" w:lineRule="auto"/>
        <w:ind w:firstLine="480" w:firstLineChars="200"/>
        <w:rPr>
          <w:rFonts w:ascii="宋体" w:hAnsi="宋体"/>
          <w:sz w:val="24"/>
          <w:highlight w:val="none"/>
        </w:rPr>
      </w:pPr>
      <w:r>
        <w:rPr>
          <w:rFonts w:hint="eastAsia" w:ascii="宋体" w:hAnsi="宋体"/>
          <w:sz w:val="24"/>
          <w:highlight w:val="none"/>
        </w:rPr>
        <w:t>（二）乙方按合同约定付清相应款项，并按合同约定按时提货。</w:t>
      </w:r>
    </w:p>
    <w:p w14:paraId="1BCC2D00">
      <w:pPr>
        <w:spacing w:line="360" w:lineRule="auto"/>
        <w:ind w:firstLine="480" w:firstLineChars="200"/>
        <w:rPr>
          <w:rFonts w:ascii="宋体" w:hAnsi="宋体"/>
          <w:sz w:val="24"/>
          <w:highlight w:val="none"/>
        </w:rPr>
      </w:pPr>
      <w:r>
        <w:rPr>
          <w:rFonts w:ascii="宋体" w:hAnsi="宋体"/>
          <w:sz w:val="24"/>
          <w:highlight w:val="none"/>
        </w:rPr>
        <w:t>（三）</w:t>
      </w:r>
      <w:r>
        <w:rPr>
          <w:rFonts w:hint="eastAsia" w:ascii="宋体" w:hAnsi="宋体"/>
          <w:sz w:val="24"/>
          <w:highlight w:val="none"/>
        </w:rPr>
        <w:t>乙方须派</w:t>
      </w:r>
      <w:r>
        <w:rPr>
          <w:rFonts w:hint="eastAsia" w:ascii="宋体" w:hAnsi="宋体"/>
          <w:sz w:val="24"/>
          <w:highlight w:val="none"/>
          <w:lang w:val="en-US" w:eastAsia="zh-CN"/>
        </w:rPr>
        <w:t xml:space="preserve">  </w:t>
      </w:r>
      <w:r>
        <w:rPr>
          <w:rFonts w:hint="eastAsia" w:ascii="宋体" w:hAnsi="宋体"/>
          <w:sz w:val="24"/>
          <w:highlight w:val="none"/>
        </w:rPr>
        <w:t>名人员，做好所有工业公司回收纸箱和销售纸箱的收集、分拣、整理、打包、堆垛等工作，乙方人员必须按时完成废旧纸箱整理和回收清运工作</w:t>
      </w:r>
      <w:r>
        <w:rPr>
          <w:rFonts w:ascii="宋体" w:hAnsi="宋体"/>
          <w:sz w:val="24"/>
          <w:highlight w:val="none"/>
        </w:rPr>
        <w:t>。</w:t>
      </w:r>
    </w:p>
    <w:p w14:paraId="4745F68D">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四</w:t>
      </w:r>
      <w:r>
        <w:rPr>
          <w:rFonts w:hint="eastAsia" w:ascii="宋体" w:hAnsi="宋体"/>
          <w:sz w:val="24"/>
          <w:highlight w:val="none"/>
        </w:rPr>
        <w:t>）乙方</w:t>
      </w:r>
      <w:r>
        <w:rPr>
          <w:rFonts w:ascii="宋体" w:hAnsi="宋体"/>
          <w:sz w:val="24"/>
          <w:highlight w:val="none"/>
        </w:rPr>
        <w:t>派出</w:t>
      </w:r>
      <w:r>
        <w:rPr>
          <w:rFonts w:hint="eastAsia" w:ascii="宋体" w:hAnsi="宋体"/>
          <w:sz w:val="24"/>
          <w:highlight w:val="none"/>
        </w:rPr>
        <w:t>的人员为乙方员工</w:t>
      </w:r>
      <w:r>
        <w:rPr>
          <w:rFonts w:ascii="宋体" w:hAnsi="宋体"/>
          <w:sz w:val="24"/>
          <w:highlight w:val="none"/>
        </w:rPr>
        <w:t>，</w:t>
      </w:r>
      <w:r>
        <w:rPr>
          <w:rFonts w:hint="eastAsia" w:ascii="宋体" w:hAnsi="宋体"/>
          <w:sz w:val="24"/>
          <w:highlight w:val="none"/>
        </w:rPr>
        <w:t>归乙方管理，与甲方无任何直接或间接的雇佣、劳动关系，乙方人员需按甲方现场管理要求统一穿着工作服及配置劳动保护用品，产生的一切费用均由乙方承担，凡因乙方及提货相关人员违法违规操作而造成的一切问题及对甲方的损失，均由乙方承担责任</w:t>
      </w:r>
      <w:r>
        <w:rPr>
          <w:rFonts w:ascii="宋体" w:hAnsi="宋体"/>
          <w:sz w:val="24"/>
          <w:highlight w:val="none"/>
        </w:rPr>
        <w:t>；</w:t>
      </w:r>
      <w:r>
        <w:rPr>
          <w:rFonts w:hint="eastAsia" w:ascii="宋体" w:hAnsi="宋体"/>
          <w:sz w:val="24"/>
          <w:highlight w:val="none"/>
        </w:rPr>
        <w:t>若遇人员离职、加班等情况，由乙方自行做好处理工作和承担相关费用。凡因乙方违法违规操作而造成的一切问题及对甲方的损失，均由乙方承担责任。</w:t>
      </w:r>
    </w:p>
    <w:p w14:paraId="6B0C4747">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五</w:t>
      </w:r>
      <w:r>
        <w:rPr>
          <w:rFonts w:hint="eastAsia" w:ascii="宋体" w:hAnsi="宋体"/>
          <w:sz w:val="24"/>
          <w:highlight w:val="none"/>
        </w:rPr>
        <w:t>）乙方及提货相关人员应严格遵守安全相关的法律法规及甲方的安全管理约定，</w:t>
      </w:r>
      <w:r>
        <w:rPr>
          <w:rFonts w:ascii="宋体" w:hAnsi="宋体"/>
          <w:sz w:val="24"/>
          <w:highlight w:val="none"/>
        </w:rPr>
        <w:t>回收过程中</w:t>
      </w:r>
      <w:r>
        <w:rPr>
          <w:rFonts w:hint="eastAsia" w:ascii="宋体" w:hAnsi="宋体"/>
          <w:sz w:val="24"/>
          <w:highlight w:val="none"/>
        </w:rPr>
        <w:t>发生的包括但不限于</w:t>
      </w:r>
      <w:r>
        <w:rPr>
          <w:rFonts w:ascii="宋体" w:hAnsi="宋体"/>
          <w:sz w:val="24"/>
          <w:highlight w:val="none"/>
        </w:rPr>
        <w:t>整理、</w:t>
      </w:r>
      <w:r>
        <w:rPr>
          <w:rFonts w:hint="eastAsia" w:ascii="宋体" w:hAnsi="宋体"/>
          <w:sz w:val="24"/>
          <w:highlight w:val="none"/>
        </w:rPr>
        <w:t>运输、装卸等一切风险均由乙方自行承担。</w:t>
      </w:r>
    </w:p>
    <w:p w14:paraId="0CD29674">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六</w:t>
      </w:r>
      <w:r>
        <w:rPr>
          <w:rFonts w:hint="eastAsia" w:ascii="宋体" w:hAnsi="宋体"/>
          <w:sz w:val="24"/>
          <w:highlight w:val="none"/>
        </w:rPr>
        <w:t>）整理和回收</w:t>
      </w:r>
      <w:r>
        <w:rPr>
          <w:rFonts w:ascii="宋体" w:hAnsi="宋体"/>
          <w:sz w:val="24"/>
          <w:highlight w:val="none"/>
        </w:rPr>
        <w:t>提货</w:t>
      </w:r>
      <w:r>
        <w:rPr>
          <w:rFonts w:hint="eastAsia" w:ascii="宋体" w:hAnsi="宋体"/>
          <w:sz w:val="24"/>
          <w:highlight w:val="none"/>
        </w:rPr>
        <w:t>的效率与甲方物流生产效率匹配，服务人员工作时间与甲方分拣作业时间匹配，确保不影响甲方物流生产进度和仓储场所占用。并配合甲方做好安全防范等相关工作。</w:t>
      </w:r>
    </w:p>
    <w:p w14:paraId="01B1D4D0">
      <w:pPr>
        <w:spacing w:line="360" w:lineRule="auto"/>
        <w:ind w:firstLine="480" w:firstLineChars="200"/>
        <w:rPr>
          <w:rFonts w:ascii="宋体" w:hAnsi="宋体"/>
          <w:sz w:val="24"/>
          <w:highlight w:val="none"/>
        </w:rPr>
      </w:pPr>
      <w:r>
        <w:rPr>
          <w:rFonts w:ascii="宋体" w:hAnsi="宋体"/>
          <w:sz w:val="24"/>
          <w:highlight w:val="none"/>
        </w:rPr>
        <w:t xml:space="preserve"> （七）</w:t>
      </w:r>
      <w:r>
        <w:rPr>
          <w:rFonts w:hint="eastAsia" w:ascii="宋体" w:hAnsi="宋体"/>
          <w:sz w:val="24"/>
          <w:highlight w:val="none"/>
        </w:rPr>
        <w:t>乙方派出的服务人员必须具备下列条件：</w:t>
      </w:r>
    </w:p>
    <w:p w14:paraId="53E0B719">
      <w:pPr>
        <w:spacing w:line="360" w:lineRule="auto"/>
        <w:ind w:left="1" w:firstLine="480" w:firstLineChars="200"/>
        <w:rPr>
          <w:rFonts w:ascii="宋体" w:hAnsi="宋体"/>
          <w:sz w:val="24"/>
          <w:highlight w:val="none"/>
        </w:rPr>
      </w:pPr>
      <w:r>
        <w:rPr>
          <w:rFonts w:ascii="宋体" w:hAnsi="宋体"/>
          <w:sz w:val="24"/>
          <w:highlight w:val="none"/>
        </w:rPr>
        <w:t xml:space="preserve">   1</w:t>
      </w:r>
      <w:r>
        <w:rPr>
          <w:rFonts w:hint="eastAsia" w:ascii="宋体" w:hAnsi="宋体"/>
          <w:sz w:val="24"/>
          <w:highlight w:val="none"/>
        </w:rPr>
        <w:t>.年龄为18周岁以上且不得超过60周岁；</w:t>
      </w:r>
      <w:r>
        <w:rPr>
          <w:rFonts w:ascii="宋体" w:hAnsi="宋体"/>
          <w:sz w:val="24"/>
          <w:highlight w:val="none"/>
        </w:rPr>
        <w:t xml:space="preserve"> </w:t>
      </w:r>
    </w:p>
    <w:p w14:paraId="034312C1">
      <w:pPr>
        <w:spacing w:line="360" w:lineRule="auto"/>
        <w:ind w:firstLine="480" w:firstLineChars="200"/>
        <w:rPr>
          <w:rFonts w:ascii="宋体" w:hAnsi="宋体"/>
          <w:sz w:val="24"/>
          <w:highlight w:val="none"/>
        </w:rPr>
      </w:pPr>
      <w:r>
        <w:rPr>
          <w:rFonts w:ascii="宋体" w:hAnsi="宋体"/>
          <w:sz w:val="24"/>
          <w:highlight w:val="none"/>
        </w:rPr>
        <w:t xml:space="preserve">   2</w:t>
      </w:r>
      <w:r>
        <w:rPr>
          <w:rFonts w:hint="eastAsia" w:ascii="宋体" w:hAnsi="宋体"/>
          <w:sz w:val="24"/>
          <w:highlight w:val="none"/>
        </w:rPr>
        <w:t>.品行良好，具备相关工作经验；</w:t>
      </w:r>
    </w:p>
    <w:p w14:paraId="111CF00E">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lang w:val="en-US" w:eastAsia="zh-CN"/>
        </w:rPr>
        <w:t>3</w:t>
      </w:r>
      <w:r>
        <w:rPr>
          <w:rFonts w:hint="eastAsia" w:ascii="宋体" w:hAnsi="宋体"/>
          <w:sz w:val="24"/>
          <w:highlight w:val="none"/>
        </w:rPr>
        <w:t>.从未受过刑事处罚、劳教、行政拘留以及任何形式的处分。</w:t>
      </w:r>
    </w:p>
    <w:p w14:paraId="09D42B13">
      <w:pPr>
        <w:spacing w:line="360" w:lineRule="auto"/>
        <w:ind w:firstLine="480" w:firstLineChars="200"/>
        <w:rPr>
          <w:rFonts w:ascii="宋体" w:hAnsi="宋体"/>
          <w:sz w:val="24"/>
          <w:highlight w:val="none"/>
        </w:rPr>
      </w:pPr>
      <w:r>
        <w:rPr>
          <w:rFonts w:ascii="宋体" w:hAnsi="宋体"/>
          <w:sz w:val="24"/>
          <w:highlight w:val="none"/>
        </w:rPr>
        <w:t xml:space="preserve"> （八）</w:t>
      </w:r>
      <w:r>
        <w:rPr>
          <w:rFonts w:hint="eastAsia" w:ascii="宋体" w:hAnsi="宋体"/>
          <w:sz w:val="24"/>
          <w:highlight w:val="none"/>
        </w:rPr>
        <w:t>对乙方所派人员的具体服务岗位、作息安排等，由甲方确定。</w:t>
      </w:r>
    </w:p>
    <w:p w14:paraId="78F078BF">
      <w:pPr>
        <w:spacing w:line="360" w:lineRule="auto"/>
        <w:ind w:firstLine="480" w:firstLineChars="200"/>
        <w:rPr>
          <w:rFonts w:ascii="宋体" w:hAnsi="宋体"/>
          <w:sz w:val="24"/>
          <w:highlight w:val="none"/>
        </w:rPr>
      </w:pPr>
      <w:r>
        <w:rPr>
          <w:rFonts w:ascii="宋体" w:hAnsi="宋体"/>
          <w:sz w:val="24"/>
          <w:highlight w:val="none"/>
        </w:rPr>
        <w:t xml:space="preserve"> （九）</w:t>
      </w:r>
      <w:r>
        <w:rPr>
          <w:rFonts w:hint="eastAsia" w:ascii="宋体" w:hAnsi="宋体"/>
          <w:sz w:val="24"/>
          <w:highlight w:val="none"/>
        </w:rPr>
        <w:t>甲方有权对乙方服务及派驻的工作人员提出改进建议和意见并督促乙方整改到位。甲方如发现乙方服务人员不适宜在甲方承担服务工作的，在甲方提供充足理由的情况下，乙方在收到通知之日起三日内更换服务人员。</w:t>
      </w:r>
    </w:p>
    <w:p w14:paraId="5A53A8E6">
      <w:pPr>
        <w:spacing w:line="480" w:lineRule="exact"/>
        <w:jc w:val="center"/>
        <w:rPr>
          <w:rFonts w:ascii="宋体" w:hAnsi="宋体"/>
          <w:b/>
          <w:sz w:val="24"/>
          <w:highlight w:val="none"/>
        </w:rPr>
      </w:pPr>
      <w:r>
        <w:rPr>
          <w:rFonts w:hint="eastAsia" w:ascii="宋体" w:hAnsi="宋体"/>
          <w:b/>
          <w:sz w:val="24"/>
          <w:highlight w:val="none"/>
        </w:rPr>
        <w:t>第五</w:t>
      </w:r>
      <w:r>
        <w:rPr>
          <w:rFonts w:ascii="宋体" w:hAnsi="宋体"/>
          <w:b/>
          <w:sz w:val="24"/>
          <w:highlight w:val="none"/>
        </w:rPr>
        <w:t>章</w:t>
      </w:r>
      <w:r>
        <w:rPr>
          <w:rFonts w:hint="eastAsia" w:ascii="宋体" w:hAnsi="宋体"/>
          <w:b/>
          <w:sz w:val="24"/>
          <w:highlight w:val="none"/>
        </w:rPr>
        <w:t xml:space="preserve">  违约责任</w:t>
      </w:r>
    </w:p>
    <w:p w14:paraId="4C6DC8E3">
      <w:pPr>
        <w:spacing w:line="360" w:lineRule="auto"/>
        <w:ind w:firstLine="482" w:firstLineChars="200"/>
        <w:rPr>
          <w:rFonts w:ascii="宋体" w:hAnsi="宋体"/>
          <w:b/>
          <w:sz w:val="24"/>
          <w:highlight w:val="none"/>
        </w:rPr>
      </w:pPr>
      <w:r>
        <w:rPr>
          <w:rFonts w:hint="eastAsia" w:ascii="宋体" w:hAnsi="宋体"/>
          <w:b/>
          <w:sz w:val="24"/>
          <w:highlight w:val="none"/>
        </w:rPr>
        <w:t>第</w:t>
      </w:r>
      <w:r>
        <w:rPr>
          <w:rFonts w:ascii="宋体" w:hAnsi="宋体"/>
          <w:b/>
          <w:sz w:val="24"/>
          <w:highlight w:val="none"/>
        </w:rPr>
        <w:t>九</w:t>
      </w:r>
      <w:r>
        <w:rPr>
          <w:rFonts w:hint="eastAsia" w:ascii="宋体" w:hAnsi="宋体"/>
          <w:b/>
          <w:sz w:val="24"/>
          <w:highlight w:val="none"/>
        </w:rPr>
        <w:t>条  甲方违约责任</w:t>
      </w:r>
    </w:p>
    <w:p w14:paraId="3725076E">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甲方所出卖卷烟箱霉烂变质明显，且不符合合同目的的，乙方有权拒收货物。</w:t>
      </w:r>
    </w:p>
    <w:p w14:paraId="2F0F338A">
      <w:pPr>
        <w:spacing w:line="360" w:lineRule="auto"/>
        <w:ind w:firstLine="482" w:firstLineChars="200"/>
        <w:rPr>
          <w:rFonts w:ascii="宋体" w:hAnsi="宋体"/>
          <w:b/>
          <w:sz w:val="24"/>
          <w:highlight w:val="none"/>
        </w:rPr>
      </w:pPr>
      <w:r>
        <w:rPr>
          <w:rFonts w:hint="eastAsia" w:ascii="宋体" w:hAnsi="宋体"/>
          <w:b/>
          <w:sz w:val="24"/>
          <w:highlight w:val="none"/>
        </w:rPr>
        <w:t>第十条 乙方违约责任</w:t>
      </w:r>
    </w:p>
    <w:p w14:paraId="6DA19721">
      <w:pPr>
        <w:spacing w:line="360" w:lineRule="auto"/>
        <w:rPr>
          <w:rFonts w:ascii="宋体" w:hAnsi="宋体"/>
          <w:sz w:val="24"/>
          <w:highlight w:val="none"/>
        </w:rPr>
      </w:pPr>
      <w:r>
        <w:rPr>
          <w:rFonts w:ascii="宋体" w:hAnsi="宋体"/>
          <w:sz w:val="24"/>
          <w:highlight w:val="none"/>
        </w:rPr>
        <w:t xml:space="preserve">     （一）</w:t>
      </w:r>
      <w:r>
        <w:rPr>
          <w:rFonts w:hint="eastAsia" w:ascii="宋体" w:hAnsi="宋体"/>
          <w:sz w:val="24"/>
          <w:highlight w:val="none"/>
        </w:rPr>
        <w:t>乙方</w:t>
      </w:r>
      <w:r>
        <w:rPr>
          <w:rFonts w:ascii="宋体" w:hAnsi="宋体"/>
          <w:sz w:val="24"/>
          <w:highlight w:val="none"/>
        </w:rPr>
        <w:t>回收废旧纸箱不得用于制售假烟或其他任何违法的卷烟经营业务，如</w:t>
      </w:r>
      <w:r>
        <w:rPr>
          <w:rFonts w:hint="eastAsia" w:ascii="宋体" w:hAnsi="宋体"/>
          <w:sz w:val="24"/>
          <w:highlight w:val="none"/>
        </w:rPr>
        <w:t>乙方</w:t>
      </w:r>
      <w:r>
        <w:rPr>
          <w:rFonts w:ascii="宋体" w:hAnsi="宋体"/>
          <w:sz w:val="24"/>
          <w:highlight w:val="none"/>
        </w:rPr>
        <w:t>发生违约行为的，</w:t>
      </w:r>
      <w:r>
        <w:rPr>
          <w:rFonts w:hint="eastAsia" w:ascii="宋体" w:hAnsi="宋体"/>
          <w:sz w:val="24"/>
          <w:highlight w:val="none"/>
        </w:rPr>
        <w:t>乙方</w:t>
      </w:r>
      <w:r>
        <w:rPr>
          <w:rFonts w:ascii="宋体" w:hAnsi="宋体"/>
          <w:sz w:val="24"/>
          <w:highlight w:val="none"/>
        </w:rPr>
        <w:t>单独承担一切后果和法律责任，</w:t>
      </w:r>
      <w:r>
        <w:rPr>
          <w:rFonts w:hint="eastAsia" w:ascii="宋体" w:hAnsi="宋体"/>
          <w:sz w:val="24"/>
          <w:highlight w:val="none"/>
        </w:rPr>
        <w:t>甲方</w:t>
      </w:r>
      <w:r>
        <w:rPr>
          <w:rFonts w:ascii="宋体" w:hAnsi="宋体"/>
          <w:sz w:val="24"/>
          <w:highlight w:val="none"/>
        </w:rPr>
        <w:t>有权解除合同，并没收全部履约保证金。</w:t>
      </w:r>
    </w:p>
    <w:p w14:paraId="3B518831">
      <w:pPr>
        <w:spacing w:line="360" w:lineRule="auto"/>
        <w:rPr>
          <w:rFonts w:ascii="宋体" w:hAnsi="宋体"/>
          <w:sz w:val="24"/>
          <w:highlight w:val="none"/>
        </w:rPr>
      </w:pPr>
      <w:r>
        <w:rPr>
          <w:rFonts w:ascii="宋体" w:hAnsi="宋体"/>
          <w:sz w:val="24"/>
          <w:highlight w:val="none"/>
        </w:rPr>
        <w:t xml:space="preserve">     （二）</w:t>
      </w:r>
      <w:r>
        <w:rPr>
          <w:rFonts w:hint="eastAsia" w:ascii="宋体" w:hAnsi="宋体"/>
          <w:sz w:val="24"/>
          <w:highlight w:val="none"/>
        </w:rPr>
        <w:t>乙方未能在约定的期限内到甲方指定的地点提清全部物资的，每逾期一天需要向甲方支付</w:t>
      </w:r>
      <w:r>
        <w:rPr>
          <w:rFonts w:hint="eastAsia" w:ascii="宋体" w:hAnsi="宋体"/>
          <w:sz w:val="24"/>
          <w:highlight w:val="none"/>
          <w:u w:val="single"/>
        </w:rPr>
        <w:t xml:space="preserve"> </w:t>
      </w:r>
      <w:r>
        <w:rPr>
          <w:rFonts w:ascii="宋体" w:hAnsi="宋体"/>
          <w:sz w:val="24"/>
          <w:highlight w:val="none"/>
          <w:u w:val="single"/>
        </w:rPr>
        <w:t>500</w:t>
      </w:r>
      <w:r>
        <w:rPr>
          <w:rFonts w:hint="eastAsia" w:ascii="宋体" w:hAnsi="宋体"/>
          <w:sz w:val="24"/>
          <w:highlight w:val="none"/>
          <w:u w:val="single"/>
        </w:rPr>
        <w:t xml:space="preserve"> 元</w:t>
      </w:r>
      <w:r>
        <w:rPr>
          <w:rFonts w:hint="eastAsia" w:ascii="宋体" w:hAnsi="宋体"/>
          <w:sz w:val="24"/>
          <w:highlight w:val="none"/>
        </w:rPr>
        <w:t>的保管费用</w:t>
      </w:r>
      <w:r>
        <w:rPr>
          <w:rFonts w:ascii="宋体" w:hAnsi="宋体"/>
          <w:sz w:val="24"/>
          <w:highlight w:val="none"/>
        </w:rPr>
        <w:t>；</w:t>
      </w:r>
      <w:r>
        <w:rPr>
          <w:rFonts w:hint="eastAsia" w:ascii="宋体" w:hAnsi="宋体"/>
          <w:sz w:val="24"/>
          <w:highlight w:val="none"/>
        </w:rPr>
        <w:t>乙方逾期</w:t>
      </w:r>
      <w:r>
        <w:rPr>
          <w:rFonts w:hint="eastAsia" w:ascii="宋体" w:hAnsi="宋体"/>
          <w:sz w:val="24"/>
          <w:highlight w:val="none"/>
          <w:u w:val="single"/>
        </w:rPr>
        <w:t xml:space="preserve"> </w:t>
      </w:r>
      <w:r>
        <w:rPr>
          <w:rFonts w:ascii="宋体" w:hAnsi="宋体"/>
          <w:sz w:val="24"/>
          <w:highlight w:val="none"/>
          <w:u w:val="single"/>
        </w:rPr>
        <w:t>20</w:t>
      </w:r>
      <w:r>
        <w:rPr>
          <w:rFonts w:hint="eastAsia" w:ascii="宋体" w:hAnsi="宋体"/>
          <w:sz w:val="24"/>
          <w:highlight w:val="none"/>
          <w:u w:val="single"/>
        </w:rPr>
        <w:t>日</w:t>
      </w:r>
      <w:r>
        <w:rPr>
          <w:rFonts w:hint="eastAsia" w:ascii="宋体" w:hAnsi="宋体"/>
          <w:sz w:val="24"/>
          <w:highlight w:val="none"/>
        </w:rPr>
        <w:t>未提清所有物资，甲方有权对乙方未提清物资另行处置，此外乙方需向甲方偿付违约金</w:t>
      </w:r>
      <w:r>
        <w:rPr>
          <w:rFonts w:hint="eastAsia" w:ascii="宋体" w:hAnsi="宋体"/>
          <w:sz w:val="24"/>
          <w:highlight w:val="none"/>
          <w:u w:val="single"/>
        </w:rPr>
        <w:t xml:space="preserve"> </w:t>
      </w:r>
      <w:r>
        <w:rPr>
          <w:rFonts w:ascii="宋体" w:hAnsi="宋体"/>
          <w:sz w:val="24"/>
          <w:highlight w:val="none"/>
          <w:u w:val="single"/>
        </w:rPr>
        <w:t>壹万</w:t>
      </w:r>
      <w:r>
        <w:rPr>
          <w:rFonts w:hint="eastAsia" w:ascii="宋体" w:hAnsi="宋体"/>
          <w:sz w:val="24"/>
          <w:highlight w:val="none"/>
        </w:rPr>
        <w:t xml:space="preserve"> 元。</w:t>
      </w:r>
    </w:p>
    <w:p w14:paraId="213E9B48">
      <w:pPr>
        <w:spacing w:line="360" w:lineRule="auto"/>
        <w:ind w:right="210" w:rightChars="1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（三）乙方因未按照甲方的相关管理工作开展提货，严重影响甲方日常工作开展的，每发生一次乙方</w:t>
      </w:r>
      <w:r>
        <w:rPr>
          <w:rFonts w:hint="eastAsia" w:ascii="宋体" w:hAnsi="宋体" w:cs="宋体"/>
          <w:sz w:val="24"/>
          <w:highlight w:val="none"/>
        </w:rPr>
        <w:t>向甲方偿付违约金</w:t>
      </w:r>
      <w:r>
        <w:rPr>
          <w:rFonts w:hint="eastAsia" w:ascii="宋体" w:hAnsi="宋体" w:cs="宋体"/>
          <w:sz w:val="24"/>
          <w:highlight w:val="none"/>
          <w:u w:val="single"/>
        </w:rPr>
        <w:t xml:space="preserve"> 贰仟 </w:t>
      </w:r>
      <w:r>
        <w:rPr>
          <w:rFonts w:hint="eastAsia" w:ascii="宋体" w:hAnsi="宋体" w:cs="宋体"/>
          <w:sz w:val="24"/>
          <w:highlight w:val="none"/>
        </w:rPr>
        <w:t>元</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sz w:val="24"/>
          <w:highlight w:val="none"/>
        </w:rPr>
        <w:t>累计达到</w:t>
      </w:r>
      <w:r>
        <w:rPr>
          <w:rFonts w:hint="eastAsia" w:ascii="宋体" w:hAnsi="宋体" w:cs="宋体"/>
          <w:sz w:val="24"/>
          <w:highlight w:val="none"/>
          <w:u w:val="single"/>
        </w:rPr>
        <w:t xml:space="preserve"> 3 </w:t>
      </w:r>
      <w:r>
        <w:rPr>
          <w:rFonts w:hint="eastAsia" w:ascii="宋体" w:hAnsi="宋体" w:cs="宋体"/>
          <w:sz w:val="24"/>
          <w:highlight w:val="none"/>
        </w:rPr>
        <w:t>次的，甲方可解除合同，</w:t>
      </w: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宋体"/>
          <w:sz w:val="24"/>
          <w:highlight w:val="none"/>
        </w:rPr>
        <w:t>向甲方偿付违约金</w:t>
      </w:r>
      <w:r>
        <w:rPr>
          <w:rFonts w:hint="eastAsia" w:ascii="宋体" w:hAnsi="宋体" w:cs="宋体"/>
          <w:sz w:val="24"/>
          <w:highlight w:val="none"/>
          <w:u w:val="single"/>
        </w:rPr>
        <w:t>伍万元</w:t>
      </w:r>
      <w:r>
        <w:rPr>
          <w:rFonts w:hint="eastAsia" w:ascii="宋体" w:hAnsi="宋体" w:cs="宋体"/>
          <w:color w:val="000000" w:themeColor="text1"/>
          <w:sz w:val="24"/>
          <w:highlight w:val="none"/>
          <w14:textFill>
            <w14:solidFill>
              <w14:schemeClr w14:val="tx1"/>
            </w14:solidFill>
          </w14:textFill>
        </w:rPr>
        <w:t>。</w:t>
      </w:r>
    </w:p>
    <w:p w14:paraId="08A5792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sz w:val="24"/>
          <w:highlight w:val="none"/>
        </w:rPr>
        <w:t xml:space="preserve"> （</w:t>
      </w:r>
      <w:r>
        <w:rPr>
          <w:rFonts w:hint="eastAsia" w:ascii="宋体" w:hAnsi="宋体"/>
          <w:sz w:val="24"/>
          <w:highlight w:val="none"/>
        </w:rPr>
        <w:t>四</w:t>
      </w:r>
      <w:r>
        <w:rPr>
          <w:rFonts w:ascii="宋体" w:hAnsi="宋体"/>
          <w:sz w:val="24"/>
          <w:highlight w:val="none"/>
        </w:rPr>
        <w:t>）如</w:t>
      </w:r>
      <w:r>
        <w:rPr>
          <w:rFonts w:hint="eastAsia" w:ascii="宋体" w:hAnsi="宋体"/>
          <w:sz w:val="24"/>
          <w:highlight w:val="none"/>
        </w:rPr>
        <w:t>乙方派驻的</w:t>
      </w:r>
      <w:r>
        <w:rPr>
          <w:rFonts w:ascii="宋体" w:hAnsi="宋体"/>
          <w:sz w:val="24"/>
          <w:highlight w:val="none"/>
        </w:rPr>
        <w:t>服务人员或</w:t>
      </w:r>
      <w:r>
        <w:rPr>
          <w:rFonts w:hint="eastAsia" w:ascii="宋体" w:hAnsi="宋体"/>
          <w:sz w:val="24"/>
          <w:highlight w:val="none"/>
        </w:rPr>
        <w:t>乙方</w:t>
      </w:r>
      <w:r>
        <w:rPr>
          <w:rFonts w:ascii="宋体" w:hAnsi="宋体"/>
          <w:sz w:val="24"/>
          <w:highlight w:val="none"/>
        </w:rPr>
        <w:t>原因（包括但不限于违反安全管理、现场管理等规章制度，参与打架、斗殴、辱骂争吵、饮酒、赌博、偷窃、发生纠纷等）对</w:t>
      </w:r>
      <w:r>
        <w:rPr>
          <w:rFonts w:hint="eastAsia" w:ascii="宋体" w:hAnsi="宋体"/>
          <w:sz w:val="24"/>
          <w:highlight w:val="none"/>
        </w:rPr>
        <w:t>甲方</w:t>
      </w:r>
      <w:r>
        <w:rPr>
          <w:rFonts w:ascii="宋体" w:hAnsi="宋体"/>
          <w:sz w:val="24"/>
          <w:highlight w:val="none"/>
        </w:rPr>
        <w:t>人员、设备、经济财产造成伤害、伤亡、损失、损坏的，由</w:t>
      </w:r>
      <w:r>
        <w:rPr>
          <w:rFonts w:hint="eastAsia" w:ascii="宋体" w:hAnsi="宋体"/>
          <w:sz w:val="24"/>
          <w:highlight w:val="none"/>
        </w:rPr>
        <w:t>乙方</w:t>
      </w:r>
      <w:r>
        <w:rPr>
          <w:rFonts w:ascii="宋体" w:hAnsi="宋体"/>
          <w:sz w:val="24"/>
          <w:highlight w:val="none"/>
        </w:rPr>
        <w:t>单独承担全部责任（包括但不限于赔偿责任和法律责任），</w:t>
      </w:r>
      <w:r>
        <w:rPr>
          <w:rFonts w:hint="eastAsia" w:ascii="宋体" w:hAnsi="宋体"/>
          <w:sz w:val="24"/>
          <w:highlight w:val="none"/>
        </w:rPr>
        <w:t>甲方</w:t>
      </w:r>
      <w:r>
        <w:rPr>
          <w:rFonts w:ascii="宋体" w:hAnsi="宋体"/>
          <w:sz w:val="24"/>
          <w:highlight w:val="none"/>
        </w:rPr>
        <w:t>每发现</w:t>
      </w:r>
      <w:r>
        <w:rPr>
          <w:rFonts w:hint="eastAsia" w:ascii="宋体" w:hAnsi="宋体"/>
          <w:sz w:val="24"/>
          <w:highlight w:val="none"/>
        </w:rPr>
        <w:t>乙方</w:t>
      </w:r>
      <w:r>
        <w:rPr>
          <w:rFonts w:ascii="宋体" w:hAnsi="宋体"/>
          <w:sz w:val="24"/>
          <w:highlight w:val="none"/>
        </w:rPr>
        <w:t>一次违约行为，</w:t>
      </w:r>
      <w:r>
        <w:rPr>
          <w:rFonts w:hint="eastAsia" w:ascii="宋体" w:hAnsi="宋体"/>
          <w:sz w:val="24"/>
          <w:highlight w:val="none"/>
        </w:rPr>
        <w:t>乙方</w:t>
      </w:r>
      <w:r>
        <w:rPr>
          <w:rFonts w:ascii="宋体" w:hAnsi="宋体"/>
          <w:sz w:val="24"/>
          <w:highlight w:val="none"/>
        </w:rPr>
        <w:t>每次承担</w:t>
      </w:r>
      <w:r>
        <w:rPr>
          <w:rFonts w:ascii="宋体" w:hAnsi="宋体"/>
          <w:sz w:val="24"/>
          <w:highlight w:val="none"/>
          <w:u w:val="single"/>
        </w:rPr>
        <w:t xml:space="preserve"> </w:t>
      </w:r>
      <w:r>
        <w:rPr>
          <w:rFonts w:hint="eastAsia" w:ascii="宋体" w:hAnsi="宋体" w:cs="宋体"/>
          <w:sz w:val="24"/>
          <w:highlight w:val="none"/>
          <w:u w:val="single"/>
        </w:rPr>
        <w:t xml:space="preserve">贰仟 </w:t>
      </w:r>
      <w:r>
        <w:rPr>
          <w:rFonts w:ascii="宋体" w:hAnsi="宋体"/>
          <w:sz w:val="24"/>
          <w:highlight w:val="none"/>
          <w:u w:val="single"/>
        </w:rPr>
        <w:t>元</w:t>
      </w:r>
      <w:r>
        <w:rPr>
          <w:rFonts w:ascii="宋体" w:hAnsi="宋体"/>
          <w:sz w:val="24"/>
          <w:highlight w:val="none"/>
        </w:rPr>
        <w:t>人民币违约赔偿责任，</w:t>
      </w:r>
      <w:r>
        <w:rPr>
          <w:rFonts w:hint="eastAsia" w:ascii="宋体" w:hAnsi="宋体"/>
          <w:sz w:val="24"/>
          <w:highlight w:val="none"/>
        </w:rPr>
        <w:t>甲方</w:t>
      </w:r>
      <w:r>
        <w:rPr>
          <w:rFonts w:ascii="宋体" w:hAnsi="宋体"/>
          <w:sz w:val="24"/>
          <w:highlight w:val="none"/>
        </w:rPr>
        <w:t>有权从履约保证金中扣缴，</w:t>
      </w:r>
      <w:r>
        <w:rPr>
          <w:rFonts w:ascii="宋体" w:hAnsi="宋体"/>
          <w:sz w:val="24"/>
          <w:highlight w:val="none"/>
          <w:u w:val="single"/>
        </w:rPr>
        <w:t>3次</w:t>
      </w:r>
      <w:r>
        <w:rPr>
          <w:rFonts w:hint="eastAsia" w:ascii="宋体" w:hAnsi="宋体"/>
          <w:sz w:val="24"/>
          <w:highlight w:val="none"/>
        </w:rPr>
        <w:t>（包含3次）</w:t>
      </w:r>
      <w:r>
        <w:rPr>
          <w:rFonts w:ascii="宋体" w:hAnsi="宋体"/>
          <w:sz w:val="24"/>
          <w:highlight w:val="none"/>
        </w:rPr>
        <w:t>以上或情节严重、影响恶劣的，</w:t>
      </w:r>
      <w:r>
        <w:rPr>
          <w:rFonts w:hint="eastAsia" w:ascii="宋体" w:hAnsi="宋体"/>
          <w:sz w:val="24"/>
          <w:highlight w:val="none"/>
        </w:rPr>
        <w:t>甲方</w:t>
      </w:r>
      <w:r>
        <w:rPr>
          <w:rFonts w:ascii="宋体" w:hAnsi="宋体"/>
          <w:sz w:val="24"/>
          <w:highlight w:val="none"/>
        </w:rPr>
        <w:t>有权解除合同并没收全部履约保证金。</w:t>
      </w:r>
    </w:p>
    <w:p w14:paraId="38278A60">
      <w:pPr>
        <w:spacing w:line="360" w:lineRule="auto"/>
        <w:jc w:val="center"/>
        <w:outlineLvl w:val="0"/>
        <w:rPr>
          <w:rFonts w:ascii="宋体" w:hAnsi="宋体"/>
          <w:b/>
          <w:sz w:val="24"/>
          <w:highlight w:val="none"/>
          <w:lang w:val="zh-CN"/>
        </w:rPr>
      </w:pPr>
      <w:bookmarkStart w:id="0" w:name="_Toc20344"/>
      <w:r>
        <w:rPr>
          <w:rFonts w:hint="eastAsia" w:ascii="宋体" w:hAnsi="宋体"/>
          <w:b/>
          <w:sz w:val="24"/>
          <w:highlight w:val="none"/>
          <w:lang w:val="zh-CN"/>
        </w:rPr>
        <w:t>第六章</w:t>
      </w:r>
      <w:r>
        <w:rPr>
          <w:rFonts w:hint="eastAsia" w:ascii="宋体" w:hAnsi="宋体"/>
          <w:b/>
          <w:sz w:val="24"/>
          <w:highlight w:val="none"/>
        </w:rPr>
        <w:t xml:space="preserve"> </w:t>
      </w:r>
      <w:r>
        <w:rPr>
          <w:rFonts w:hint="eastAsia" w:ascii="宋体" w:hAnsi="宋体"/>
          <w:b/>
          <w:sz w:val="24"/>
          <w:highlight w:val="none"/>
          <w:lang w:val="zh-CN"/>
        </w:rPr>
        <w:t>评价</w:t>
      </w:r>
      <w:r>
        <w:rPr>
          <w:rFonts w:hint="eastAsia" w:ascii="宋体" w:hAnsi="宋体"/>
          <w:b/>
          <w:sz w:val="24"/>
          <w:highlight w:val="none"/>
        </w:rPr>
        <w:t>及结果应用</w:t>
      </w:r>
      <w:bookmarkEnd w:id="0"/>
    </w:p>
    <w:p w14:paraId="22E1E96E">
      <w:pPr>
        <w:snapToGrid w:val="0"/>
        <w:spacing w:line="360" w:lineRule="auto"/>
        <w:ind w:firstLine="480"/>
        <w:jc w:val="left"/>
        <w:rPr>
          <w:rFonts w:ascii="宋体" w:hAnsi="宋体"/>
          <w:bCs/>
          <w:sz w:val="24"/>
          <w:highlight w:val="none"/>
          <w:lang w:val="zh-CN"/>
        </w:rPr>
      </w:pPr>
      <w:r>
        <w:rPr>
          <w:rFonts w:hint="eastAsia" w:ascii="宋体" w:hAnsi="宋体"/>
          <w:b/>
          <w:sz w:val="24"/>
          <w:highlight w:val="none"/>
          <w:lang w:val="zh-CN"/>
        </w:rPr>
        <w:t>第</w:t>
      </w:r>
      <w:r>
        <w:rPr>
          <w:rFonts w:hint="eastAsia" w:ascii="宋体" w:hAnsi="宋体"/>
          <w:b/>
          <w:sz w:val="24"/>
          <w:highlight w:val="none"/>
        </w:rPr>
        <w:t>十一</w:t>
      </w:r>
      <w:r>
        <w:rPr>
          <w:rFonts w:hint="eastAsia" w:ascii="宋体" w:hAnsi="宋体"/>
          <w:b/>
          <w:sz w:val="24"/>
          <w:highlight w:val="none"/>
          <w:lang w:val="zh-CN"/>
        </w:rPr>
        <w:t>条</w:t>
      </w:r>
      <w:r>
        <w:rPr>
          <w:rFonts w:hint="eastAsia" w:ascii="宋体" w:hAnsi="宋体"/>
          <w:bCs/>
          <w:sz w:val="24"/>
          <w:highlight w:val="none"/>
          <w:lang w:val="zh-CN"/>
        </w:rPr>
        <w:t xml:space="preserve"> 甲方对</w:t>
      </w:r>
      <w:r>
        <w:rPr>
          <w:rFonts w:hint="eastAsia" w:ascii="宋体" w:hAnsi="宋体"/>
          <w:bCs/>
          <w:sz w:val="24"/>
          <w:highlight w:val="none"/>
        </w:rPr>
        <w:t>乙方</w:t>
      </w:r>
      <w:r>
        <w:rPr>
          <w:rFonts w:hint="eastAsia" w:ascii="宋体" w:hAnsi="宋体"/>
          <w:bCs/>
          <w:sz w:val="24"/>
          <w:highlight w:val="none"/>
          <w:lang w:val="zh-CN"/>
        </w:rPr>
        <w:t>在采购活动及合同履行过程中存在的违法、违规、违约等内容展开评价，评价种类及频次、</w:t>
      </w:r>
      <w:r>
        <w:rPr>
          <w:rFonts w:hint="eastAsia" w:ascii="宋体" w:hAnsi="宋体"/>
          <w:bCs/>
          <w:sz w:val="24"/>
          <w:highlight w:val="none"/>
        </w:rPr>
        <w:t>评价内容</w:t>
      </w:r>
      <w:r>
        <w:rPr>
          <w:rFonts w:hint="eastAsia" w:ascii="宋体" w:hAnsi="宋体"/>
          <w:bCs/>
          <w:sz w:val="24"/>
          <w:highlight w:val="none"/>
          <w:lang w:val="zh-CN"/>
        </w:rPr>
        <w:t>等具体内容如下：</w:t>
      </w:r>
    </w:p>
    <w:p w14:paraId="1949F0C7">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综合评价：综合评价从历次付款验收评价、综合评议等方面展开；综合评价详见附件</w:t>
      </w:r>
      <w:r>
        <w:rPr>
          <w:rFonts w:hint="eastAsia" w:ascii="宋体" w:hAnsi="宋体"/>
          <w:bCs/>
          <w:sz w:val="24"/>
          <w:highlight w:val="none"/>
          <w:lang w:val="en-US" w:eastAsia="zh-CN"/>
        </w:rPr>
        <w:t>2</w:t>
      </w:r>
      <w:r>
        <w:rPr>
          <w:rFonts w:hint="eastAsia" w:ascii="宋体" w:hAnsi="宋体"/>
          <w:sz w:val="24"/>
          <w:highlight w:val="none"/>
        </w:rPr>
        <w:t>《</w:t>
      </w:r>
      <w:r>
        <w:rPr>
          <w:rFonts w:hint="eastAsia" w:ascii="宋体" w:hAnsi="宋体"/>
          <w:bCs/>
          <w:sz w:val="24"/>
          <w:highlight w:val="none"/>
        </w:rPr>
        <w:t>年度综合评价表</w:t>
      </w:r>
      <w:r>
        <w:rPr>
          <w:rFonts w:hint="eastAsia" w:ascii="宋体" w:hAnsi="宋体"/>
          <w:sz w:val="24"/>
          <w:highlight w:val="none"/>
        </w:rPr>
        <w:t>》</w:t>
      </w:r>
      <w:r>
        <w:rPr>
          <w:rFonts w:hint="eastAsia" w:ascii="宋体" w:hAnsi="宋体"/>
          <w:bCs/>
          <w:sz w:val="24"/>
          <w:highlight w:val="none"/>
          <w:lang w:val="zh-CN"/>
        </w:rPr>
        <w:t>，等级分为优秀、良好、合格、不合格等四个等级，得分90分以上的为优秀；得分80分以上、不足90分的为良好；得分70分以上、不足80分的为合格；得分不足70分的为不合格。</w:t>
      </w:r>
    </w:p>
    <w:p w14:paraId="679EFC86">
      <w:pPr>
        <w:snapToGrid w:val="0"/>
        <w:spacing w:line="360" w:lineRule="auto"/>
        <w:ind w:firstLine="480"/>
        <w:jc w:val="left"/>
        <w:rPr>
          <w:rFonts w:ascii="宋体" w:hAnsi="宋体"/>
          <w:bCs/>
          <w:sz w:val="24"/>
          <w:highlight w:val="none"/>
          <w:lang w:val="zh-CN"/>
        </w:rPr>
      </w:pPr>
      <w:r>
        <w:rPr>
          <w:rFonts w:hint="eastAsia" w:ascii="宋体" w:hAnsi="宋体"/>
          <w:b/>
          <w:sz w:val="24"/>
          <w:highlight w:val="none"/>
          <w:lang w:val="zh-CN"/>
        </w:rPr>
        <w:t>第</w:t>
      </w:r>
      <w:r>
        <w:rPr>
          <w:rFonts w:hint="eastAsia" w:ascii="宋体" w:hAnsi="宋体"/>
          <w:b/>
          <w:sz w:val="24"/>
          <w:highlight w:val="none"/>
        </w:rPr>
        <w:t>十二</w:t>
      </w:r>
      <w:r>
        <w:rPr>
          <w:rFonts w:hint="eastAsia" w:ascii="宋体" w:hAnsi="宋体"/>
          <w:b/>
          <w:sz w:val="24"/>
          <w:highlight w:val="none"/>
          <w:lang w:val="zh-CN"/>
        </w:rPr>
        <w:t>条</w:t>
      </w:r>
      <w:r>
        <w:rPr>
          <w:rFonts w:hint="eastAsia" w:ascii="宋体" w:hAnsi="宋体"/>
          <w:bCs/>
          <w:sz w:val="24"/>
          <w:highlight w:val="none"/>
          <w:lang w:val="zh-CN"/>
        </w:rPr>
        <w:t xml:space="preserve"> 不良行为的处理分为列入不良行为供应商名单和列入行贿供应商名单。</w:t>
      </w:r>
    </w:p>
    <w:p w14:paraId="7D85804D">
      <w:pPr>
        <w:snapToGrid w:val="0"/>
        <w:spacing w:line="360" w:lineRule="auto"/>
        <w:ind w:firstLine="480"/>
        <w:jc w:val="left"/>
        <w:rPr>
          <w:rFonts w:ascii="宋体" w:hAnsi="宋体"/>
          <w:bCs/>
          <w:sz w:val="24"/>
          <w:highlight w:val="none"/>
          <w:lang w:val="zh-CN"/>
        </w:rPr>
      </w:pPr>
      <w:r>
        <w:rPr>
          <w:rFonts w:hint="eastAsia" w:ascii="宋体" w:hAnsi="宋体"/>
          <w:b/>
          <w:sz w:val="24"/>
          <w:highlight w:val="none"/>
          <w:lang w:val="zh-CN"/>
        </w:rPr>
        <w:t>第</w:t>
      </w:r>
      <w:r>
        <w:rPr>
          <w:rFonts w:hint="eastAsia" w:ascii="宋体" w:hAnsi="宋体"/>
          <w:b/>
          <w:sz w:val="24"/>
          <w:highlight w:val="none"/>
        </w:rPr>
        <w:t>十三</w:t>
      </w:r>
      <w:r>
        <w:rPr>
          <w:rFonts w:hint="eastAsia" w:ascii="宋体" w:hAnsi="宋体"/>
          <w:b/>
          <w:sz w:val="24"/>
          <w:highlight w:val="none"/>
          <w:lang w:val="zh-CN"/>
        </w:rPr>
        <w:t>条</w:t>
      </w:r>
      <w:r>
        <w:rPr>
          <w:rFonts w:hint="eastAsia" w:ascii="宋体" w:hAnsi="宋体"/>
          <w:bCs/>
          <w:sz w:val="24"/>
          <w:highlight w:val="none"/>
          <w:lang w:val="zh-CN"/>
        </w:rPr>
        <w:t xml:space="preserve"> </w:t>
      </w:r>
      <w:r>
        <w:rPr>
          <w:rFonts w:hint="eastAsia" w:ascii="宋体" w:hAnsi="宋体"/>
          <w:bCs/>
          <w:sz w:val="24"/>
          <w:highlight w:val="none"/>
        </w:rPr>
        <w:t>乙方</w:t>
      </w:r>
      <w:r>
        <w:rPr>
          <w:rFonts w:hint="eastAsia" w:ascii="宋体" w:hAnsi="宋体"/>
          <w:bCs/>
          <w:sz w:val="24"/>
          <w:highlight w:val="none"/>
          <w:lang w:val="zh-CN"/>
        </w:rPr>
        <w:t>在参加采购活动中、日常管理中及评价中被发现且证实有不良行为的，将</w:t>
      </w:r>
      <w:r>
        <w:rPr>
          <w:rFonts w:hint="eastAsia" w:ascii="宋体" w:hAnsi="宋体"/>
          <w:bCs/>
          <w:sz w:val="24"/>
          <w:highlight w:val="none"/>
        </w:rPr>
        <w:t>乙方</w:t>
      </w:r>
      <w:r>
        <w:rPr>
          <w:rFonts w:hint="eastAsia" w:ascii="宋体" w:hAnsi="宋体"/>
          <w:bCs/>
          <w:sz w:val="24"/>
          <w:highlight w:val="none"/>
          <w:lang w:val="zh-CN"/>
        </w:rPr>
        <w:t>列入不良行为供应商名单，并在出现该情形的</w:t>
      </w:r>
      <w:r>
        <w:rPr>
          <w:rFonts w:hint="eastAsia" w:ascii="宋体" w:hAnsi="宋体"/>
          <w:bCs/>
          <w:sz w:val="24"/>
          <w:highlight w:val="none"/>
        </w:rPr>
        <w:t>甲方</w:t>
      </w:r>
      <w:r>
        <w:rPr>
          <w:rFonts w:hint="eastAsia" w:ascii="宋体" w:hAnsi="宋体"/>
          <w:bCs/>
          <w:sz w:val="24"/>
          <w:highlight w:val="none"/>
          <w:lang w:val="zh-CN"/>
        </w:rPr>
        <w:t>单位（</w:t>
      </w:r>
      <w:r>
        <w:rPr>
          <w:rFonts w:hint="eastAsia" w:ascii="宋体" w:hAnsi="宋体"/>
          <w:bCs/>
          <w:sz w:val="24"/>
          <w:highlight w:val="none"/>
        </w:rPr>
        <w:t>指法人单位</w:t>
      </w:r>
      <w:r>
        <w:rPr>
          <w:rFonts w:hint="eastAsia" w:ascii="宋体" w:hAnsi="宋体"/>
          <w:bCs/>
          <w:sz w:val="24"/>
          <w:highlight w:val="none"/>
          <w:lang w:val="zh-CN"/>
        </w:rPr>
        <w:t>）范围内禁止其参加新采购交易活动。</w:t>
      </w:r>
    </w:p>
    <w:p w14:paraId="08D808B3">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（一）有下列行为之一的，认定为一般不良行为供应商，并在6个月内禁止：</w:t>
      </w:r>
    </w:p>
    <w:p w14:paraId="6DD8BADD">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（1）未按约定缴纳履约保证金，或经过催告在规定时间内仍未缴纳的；</w:t>
      </w:r>
    </w:p>
    <w:p w14:paraId="09CA46F5">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（2）收到中标（成交）通知书后未按规定签约，或经过催告在规定时间内仍未签约的；</w:t>
      </w:r>
    </w:p>
    <w:p w14:paraId="3462E021">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（3）无正当理由不按期提供物资、服务或工程，经催告后仍未提供的；</w:t>
      </w:r>
    </w:p>
    <w:p w14:paraId="44F385A7">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（4）在验收时未提供相关产品技术证明文书，经催告后仍未提供的；</w:t>
      </w:r>
    </w:p>
    <w:p w14:paraId="5D5BEB1E">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（5）物资、工程有质量缺陷或服务质量不合格，经告知后不更换或处理的；</w:t>
      </w:r>
    </w:p>
    <w:p w14:paraId="05434311">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（6）所提供的物资、服务或工程使用过程中出现质量问题，未及时进行整改的；</w:t>
      </w:r>
    </w:p>
    <w:p w14:paraId="44C4C948">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（7）提供不合规票据办理结算，经告知未按规定要求整改的；</w:t>
      </w:r>
    </w:p>
    <w:p w14:paraId="40D96BC6">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（8）一个自然年度内无正当理由不参加库内采购活动2次以上的；</w:t>
      </w:r>
    </w:p>
    <w:p w14:paraId="4684ED16">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（9）私自更换项目经理、项目组成员或对接联系人，且拒不改正的；</w:t>
      </w:r>
    </w:p>
    <w:p w14:paraId="15CDF408">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（10）工商登记、银行账户等信息发生变更未及时告知的；</w:t>
      </w:r>
    </w:p>
    <w:p w14:paraId="77BC51EE">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（11）一个自然年度内出现1次付款验收评价等级为D；</w:t>
      </w:r>
    </w:p>
    <w:p w14:paraId="208484F9">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（12）其他一般不良行为。</w:t>
      </w:r>
    </w:p>
    <w:p w14:paraId="3559A509">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（二）有下列行为之一的，认定为较严重不良行为供应商，并在1年内禁止：</w:t>
      </w:r>
    </w:p>
    <w:p w14:paraId="38F61433">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（1）无正当理由拒不签订合同或不履行合同的；</w:t>
      </w:r>
    </w:p>
    <w:p w14:paraId="512B9FE7">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（2）不得转包、分包的项目，中标（成交）后进行转包、分包的；</w:t>
      </w:r>
    </w:p>
    <w:p w14:paraId="08551C9E">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（3）擅自变更或者终止采购合同的；</w:t>
      </w:r>
    </w:p>
    <w:p w14:paraId="407A1202">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（4）未按期提供物资、服务或工程，经两次以上催告后在合理期间内仍未提供的；</w:t>
      </w:r>
    </w:p>
    <w:p w14:paraId="0DDD4950">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（5）在验收时提供虚假技术证明文书的；</w:t>
      </w:r>
    </w:p>
    <w:p w14:paraId="048C1E43">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（6）提供假冒伪劣产品，以假充真、以次充好的；</w:t>
      </w:r>
    </w:p>
    <w:p w14:paraId="75CBD2D3">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（7）未按合同约定或违反采购文件承诺，擅自更换产品品牌、规格等，经告知后拒不改正的；</w:t>
      </w:r>
    </w:p>
    <w:p w14:paraId="7E52706D">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（8）因产品或服务质量问题造成安全隐患，影响生产和建设的；</w:t>
      </w:r>
    </w:p>
    <w:p w14:paraId="45CD2F9C">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（9）产品存在批次质量问题，拒不进行召回、退还和撤换的；</w:t>
      </w:r>
    </w:p>
    <w:p w14:paraId="6D22EB0D">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（10）拒绝采购人有关部门进行监督检查或提供虚假情况的；</w:t>
      </w:r>
    </w:p>
    <w:p w14:paraId="1781C35E">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（11）一个自然年度内无正当理由累计发生质疑或投诉2次以上的；</w:t>
      </w:r>
    </w:p>
    <w:p w14:paraId="76081D64">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（12）一个自然年度内累计出现2次以上付款验收评价等级为D的；</w:t>
      </w:r>
    </w:p>
    <w:p w14:paraId="6D0543FB">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（13）综合评价等级为不合格的；</w:t>
      </w:r>
    </w:p>
    <w:p w14:paraId="0FEB1999">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（14）其他较严重不良行为。</w:t>
      </w:r>
    </w:p>
    <w:p w14:paraId="4C36506B">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（三）有下列行为之一的，认定为严重不良行为供应商，并在2年内禁止：</w:t>
      </w:r>
    </w:p>
    <w:p w14:paraId="56EBA176">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（1）招标过程中存在招标投标法及其实施条例所列的串通投标或弄虚作假行为的；</w:t>
      </w:r>
    </w:p>
    <w:p w14:paraId="4ABC4F8E">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（2）非招标采购过程中存在串通或弄虚作假行为的（其不良行为情形参照前款）；</w:t>
      </w:r>
    </w:p>
    <w:p w14:paraId="0A2449C6">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（3）因产品质量缺陷或服务质量问题造成较大经济损失或安全事故的；</w:t>
      </w:r>
    </w:p>
    <w:p w14:paraId="1E768B3C">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（4）违约或其他不良行为给企业造成经济损失、不良社会影响的；</w:t>
      </w:r>
    </w:p>
    <w:p w14:paraId="515A8AA6">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（5）采用不正当手段维护权益，影响正常经营秩序或造成不良社会影响的；</w:t>
      </w:r>
    </w:p>
    <w:p w14:paraId="70B20E94">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（6）其他严重不良行为。</w:t>
      </w:r>
    </w:p>
    <w:p w14:paraId="6B45B09A">
      <w:pPr>
        <w:snapToGrid w:val="0"/>
        <w:spacing w:line="360" w:lineRule="auto"/>
        <w:ind w:firstLine="480"/>
        <w:jc w:val="left"/>
        <w:rPr>
          <w:rFonts w:ascii="宋体" w:hAnsi="宋体"/>
          <w:bCs/>
          <w:sz w:val="24"/>
          <w:highlight w:val="none"/>
          <w:lang w:val="zh-CN"/>
        </w:rPr>
      </w:pPr>
      <w:r>
        <w:rPr>
          <w:rFonts w:hint="eastAsia" w:ascii="宋体" w:hAnsi="宋体"/>
          <w:b/>
          <w:sz w:val="24"/>
          <w:highlight w:val="none"/>
          <w:lang w:val="zh-CN"/>
        </w:rPr>
        <w:t>第</w:t>
      </w:r>
      <w:r>
        <w:rPr>
          <w:rFonts w:hint="eastAsia" w:ascii="宋体" w:hAnsi="宋体"/>
          <w:b/>
          <w:sz w:val="24"/>
          <w:highlight w:val="none"/>
        </w:rPr>
        <w:t>十四</w:t>
      </w:r>
      <w:r>
        <w:rPr>
          <w:rFonts w:hint="eastAsia" w:ascii="宋体" w:hAnsi="宋体"/>
          <w:b/>
          <w:sz w:val="24"/>
          <w:highlight w:val="none"/>
          <w:lang w:val="zh-CN"/>
        </w:rPr>
        <w:t>条</w:t>
      </w:r>
      <w:r>
        <w:rPr>
          <w:rFonts w:hint="eastAsia" w:ascii="宋体" w:hAnsi="宋体"/>
          <w:bCs/>
          <w:sz w:val="24"/>
          <w:highlight w:val="none"/>
          <w:lang w:val="zh-CN"/>
        </w:rPr>
        <w:t xml:space="preserve"> </w:t>
      </w:r>
      <w:r>
        <w:rPr>
          <w:rFonts w:hint="eastAsia" w:ascii="宋体" w:hAnsi="宋体"/>
          <w:bCs/>
          <w:sz w:val="24"/>
          <w:highlight w:val="none"/>
        </w:rPr>
        <w:t>中国烟草总公司浙江省公司</w:t>
      </w:r>
      <w:r>
        <w:rPr>
          <w:rFonts w:hint="eastAsia" w:ascii="宋体" w:hAnsi="宋体"/>
          <w:bCs/>
          <w:sz w:val="24"/>
          <w:highlight w:val="none"/>
          <w:lang w:val="zh-CN"/>
        </w:rPr>
        <w:t>结合各</w:t>
      </w:r>
      <w:r>
        <w:rPr>
          <w:rFonts w:hint="eastAsia" w:ascii="宋体" w:hAnsi="宋体"/>
          <w:bCs/>
          <w:sz w:val="24"/>
          <w:highlight w:val="none"/>
        </w:rPr>
        <w:t>直属</w:t>
      </w:r>
      <w:r>
        <w:rPr>
          <w:rFonts w:hint="eastAsia" w:ascii="宋体" w:hAnsi="宋体"/>
          <w:bCs/>
          <w:sz w:val="24"/>
          <w:highlight w:val="none"/>
          <w:lang w:val="zh-CN"/>
        </w:rPr>
        <w:t>单位不良行为供应商处理结果，确定</w:t>
      </w:r>
      <w:r>
        <w:rPr>
          <w:rFonts w:hint="eastAsia" w:ascii="宋体" w:hAnsi="宋体"/>
          <w:bCs/>
          <w:sz w:val="24"/>
          <w:highlight w:val="none"/>
        </w:rPr>
        <w:t>是否在浙江省烟草专卖商业</w:t>
      </w:r>
      <w:r>
        <w:rPr>
          <w:rFonts w:hint="eastAsia" w:ascii="宋体" w:hAnsi="宋体"/>
          <w:bCs/>
          <w:sz w:val="24"/>
          <w:highlight w:val="none"/>
          <w:lang w:val="zh-CN"/>
        </w:rPr>
        <w:t>系统范围内禁止及禁止期限。</w:t>
      </w:r>
    </w:p>
    <w:p w14:paraId="540BD8A4">
      <w:pPr>
        <w:snapToGrid w:val="0"/>
        <w:spacing w:line="360" w:lineRule="auto"/>
        <w:ind w:firstLine="480"/>
        <w:jc w:val="left"/>
        <w:rPr>
          <w:rFonts w:ascii="宋体" w:hAnsi="宋体"/>
          <w:bCs/>
          <w:sz w:val="24"/>
          <w:highlight w:val="none"/>
          <w:lang w:val="zh-CN"/>
        </w:rPr>
      </w:pPr>
      <w:r>
        <w:rPr>
          <w:rFonts w:hint="eastAsia" w:ascii="宋体" w:hAnsi="宋体"/>
          <w:b/>
          <w:sz w:val="24"/>
          <w:highlight w:val="none"/>
          <w:lang w:val="zh-CN"/>
        </w:rPr>
        <w:t>第</w:t>
      </w:r>
      <w:r>
        <w:rPr>
          <w:rFonts w:hint="eastAsia" w:ascii="宋体" w:hAnsi="宋体"/>
          <w:b/>
          <w:sz w:val="24"/>
          <w:highlight w:val="none"/>
        </w:rPr>
        <w:t>十五</w:t>
      </w:r>
      <w:r>
        <w:rPr>
          <w:rFonts w:hint="eastAsia" w:ascii="宋体" w:hAnsi="宋体"/>
          <w:b/>
          <w:sz w:val="24"/>
          <w:highlight w:val="none"/>
          <w:lang w:val="zh-CN"/>
        </w:rPr>
        <w:t>条</w:t>
      </w:r>
      <w:r>
        <w:rPr>
          <w:rFonts w:hint="eastAsia" w:ascii="宋体" w:hAnsi="宋体"/>
          <w:bCs/>
          <w:sz w:val="24"/>
          <w:highlight w:val="none"/>
          <w:lang w:val="zh-CN"/>
        </w:rPr>
        <w:t xml:space="preserve"> 2017年10月15日起，</w:t>
      </w:r>
      <w:r>
        <w:rPr>
          <w:rFonts w:hint="eastAsia" w:ascii="宋体" w:hAnsi="宋体"/>
          <w:bCs/>
          <w:sz w:val="24"/>
          <w:highlight w:val="none"/>
        </w:rPr>
        <w:t>乙方</w:t>
      </w:r>
      <w:r>
        <w:rPr>
          <w:rFonts w:hint="eastAsia" w:ascii="宋体" w:hAnsi="宋体"/>
          <w:bCs/>
          <w:sz w:val="24"/>
          <w:highlight w:val="none"/>
          <w:lang w:val="zh-CN"/>
        </w:rPr>
        <w:t>在参加</w:t>
      </w:r>
      <w:r>
        <w:rPr>
          <w:rFonts w:hint="eastAsia" w:ascii="宋体" w:hAnsi="宋体"/>
          <w:bCs/>
          <w:sz w:val="24"/>
          <w:highlight w:val="none"/>
        </w:rPr>
        <w:t>甲方</w:t>
      </w:r>
      <w:r>
        <w:rPr>
          <w:rFonts w:hint="eastAsia" w:ascii="宋体" w:hAnsi="宋体"/>
          <w:bCs/>
          <w:sz w:val="24"/>
          <w:highlight w:val="none"/>
          <w:lang w:val="zh-CN"/>
        </w:rPr>
        <w:t>行业采购活动中，向</w:t>
      </w:r>
      <w:r>
        <w:rPr>
          <w:rFonts w:hint="eastAsia" w:ascii="宋体" w:hAnsi="宋体"/>
          <w:bCs/>
          <w:sz w:val="24"/>
          <w:highlight w:val="none"/>
        </w:rPr>
        <w:t>甲方</w:t>
      </w:r>
      <w:r>
        <w:rPr>
          <w:rFonts w:hint="eastAsia" w:ascii="宋体" w:hAnsi="宋体"/>
          <w:bCs/>
          <w:sz w:val="24"/>
          <w:highlight w:val="none"/>
          <w:lang w:val="zh-CN"/>
        </w:rPr>
        <w:t>单位干部职工行贿的，将其列入存在行贿行为供应商名单，实施严格禁入措施，禁止参加新采购项目，并根据生效的刑事判决书、刑事裁定书、党政纪处分决定书认定的数额，采取如下处理措施：</w:t>
      </w:r>
    </w:p>
    <w:p w14:paraId="67617ABE">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（一）行贿数额不满10万元的，禁止参加全行业烟草企业新采购项目1年，禁止参加浙江省烟草专卖商业系统新采购项目2年；</w:t>
      </w:r>
    </w:p>
    <w:p w14:paraId="772B7E0A">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（二）行贿数额10万元以上不满50万元的，禁止参加全行业烟草企业新采购项目1年，禁止参加浙江省烟草专卖商业系统新采购项目3年；</w:t>
      </w:r>
    </w:p>
    <w:p w14:paraId="65A77631">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（三）行贿数额50万元以上不满100万元的，禁止参加全行业烟草企业新采购项目1年，禁止参加浙江省烟草专卖商业系统新采购项目4年；</w:t>
      </w:r>
    </w:p>
    <w:p w14:paraId="166D4E8A">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（四）行贿数额在100万元以上不满500万元的，禁止参加全行业烟草企业新采购项目2年，禁止参加浙江省烟草专卖商业系统新采购项目5年；</w:t>
      </w:r>
    </w:p>
    <w:p w14:paraId="216C05B3">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（五）行贿数额在500万元以上的，禁止参加全行业烟草企业新采购项目3年，禁止参加浙江省烟草专卖商业系统新采购项目6年；</w:t>
      </w:r>
    </w:p>
    <w:p w14:paraId="28BBB571">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（六）向烟草行业行贿两次以上的或者造成恶劣社会影响的，永久禁止参加浙江省烟草专卖商业系统新采购项目；</w:t>
      </w:r>
    </w:p>
    <w:p w14:paraId="1658842C">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（七）行贿行为情节特别严重的，永久禁止参加烟草企业新采购项目。</w:t>
      </w:r>
    </w:p>
    <w:p w14:paraId="7E5C4240">
      <w:pPr>
        <w:snapToGrid w:val="0"/>
        <w:spacing w:line="360" w:lineRule="auto"/>
        <w:ind w:firstLine="480"/>
        <w:jc w:val="left"/>
        <w:rPr>
          <w:rFonts w:ascii="宋体" w:hAnsi="宋体"/>
          <w:bCs/>
          <w:sz w:val="24"/>
          <w:highlight w:val="none"/>
          <w:lang w:val="zh-CN"/>
        </w:rPr>
      </w:pPr>
      <w:r>
        <w:rPr>
          <w:rFonts w:hint="eastAsia" w:ascii="宋体" w:hAnsi="宋体"/>
          <w:b/>
          <w:sz w:val="24"/>
          <w:highlight w:val="none"/>
          <w:lang w:val="zh-CN"/>
        </w:rPr>
        <w:t>第</w:t>
      </w:r>
      <w:r>
        <w:rPr>
          <w:rFonts w:hint="eastAsia" w:ascii="宋体" w:hAnsi="宋体"/>
          <w:b/>
          <w:sz w:val="24"/>
          <w:highlight w:val="none"/>
        </w:rPr>
        <w:t>十六</w:t>
      </w:r>
      <w:r>
        <w:rPr>
          <w:rFonts w:hint="eastAsia" w:ascii="宋体" w:hAnsi="宋体"/>
          <w:b/>
          <w:sz w:val="24"/>
          <w:highlight w:val="none"/>
          <w:lang w:val="zh-CN"/>
        </w:rPr>
        <w:t>条</w:t>
      </w:r>
      <w:r>
        <w:rPr>
          <w:rFonts w:hint="eastAsia" w:ascii="宋体" w:hAnsi="宋体"/>
          <w:bCs/>
          <w:sz w:val="24"/>
          <w:highlight w:val="none"/>
          <w:lang w:val="zh-CN"/>
        </w:rPr>
        <w:t xml:space="preserve"> 对存在行贿行为供应商的禁入措施，适用于其法定代表人、主要负责人和行贿人。在禁入期限内，上述人员担任法定代表人、主要负责人或实际控制人的其他企业，均不得参加新采购项目。</w:t>
      </w:r>
    </w:p>
    <w:p w14:paraId="31F0AB53">
      <w:pPr>
        <w:snapToGrid w:val="0"/>
        <w:spacing w:line="360" w:lineRule="auto"/>
        <w:ind w:firstLine="480"/>
        <w:jc w:val="left"/>
        <w:rPr>
          <w:rFonts w:ascii="宋体" w:hAnsi="宋体"/>
          <w:bCs/>
          <w:sz w:val="24"/>
          <w:highlight w:val="none"/>
        </w:rPr>
      </w:pPr>
      <w:r>
        <w:rPr>
          <w:rFonts w:hint="eastAsia" w:ascii="宋体" w:hAnsi="宋体"/>
          <w:b/>
          <w:sz w:val="24"/>
          <w:highlight w:val="none"/>
          <w:lang w:val="zh-CN"/>
        </w:rPr>
        <w:t>第</w:t>
      </w:r>
      <w:r>
        <w:rPr>
          <w:rFonts w:hint="eastAsia" w:ascii="宋体" w:hAnsi="宋体"/>
          <w:b/>
          <w:sz w:val="24"/>
          <w:highlight w:val="none"/>
        </w:rPr>
        <w:t>十七</w:t>
      </w:r>
      <w:r>
        <w:rPr>
          <w:rFonts w:hint="eastAsia" w:ascii="宋体" w:hAnsi="宋体"/>
          <w:b/>
          <w:sz w:val="24"/>
          <w:highlight w:val="none"/>
          <w:lang w:val="zh-CN"/>
        </w:rPr>
        <w:t>条</w:t>
      </w:r>
      <w:r>
        <w:rPr>
          <w:rFonts w:hint="eastAsia" w:ascii="宋体" w:hAnsi="宋体"/>
          <w:bCs/>
          <w:sz w:val="24"/>
          <w:highlight w:val="none"/>
          <w:lang w:val="zh-CN"/>
        </w:rPr>
        <w:t xml:space="preserve"> </w:t>
      </w:r>
      <w:r>
        <w:rPr>
          <w:rFonts w:hint="eastAsia" w:ascii="宋体" w:hAnsi="宋体"/>
          <w:bCs/>
          <w:sz w:val="24"/>
          <w:highlight w:val="none"/>
        </w:rPr>
        <w:t>乙方有合同所列的不良行为和行贿</w:t>
      </w:r>
      <w:r>
        <w:rPr>
          <w:rFonts w:hint="eastAsia" w:ascii="宋体" w:hAnsi="宋体"/>
          <w:bCs/>
          <w:sz w:val="24"/>
          <w:highlight w:val="none"/>
          <w:lang w:val="zh-CN"/>
        </w:rPr>
        <w:t>行为之一影响中标（成交）结果、可能影响中标（成交）结果或影响合同履行的，</w:t>
      </w:r>
      <w:r>
        <w:rPr>
          <w:rFonts w:hint="eastAsia" w:ascii="宋体" w:hAnsi="宋体"/>
          <w:bCs/>
          <w:sz w:val="24"/>
          <w:highlight w:val="none"/>
        </w:rPr>
        <w:t>甲方有权采取以下措施，产生的一切后果由乙方承担：</w:t>
      </w:r>
    </w:p>
    <w:p w14:paraId="1A8F1E53">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（一）未确定</w:t>
      </w:r>
      <w:r>
        <w:rPr>
          <w:rFonts w:hint="eastAsia" w:ascii="宋体" w:hAnsi="宋体"/>
          <w:bCs/>
          <w:sz w:val="24"/>
          <w:highlight w:val="none"/>
        </w:rPr>
        <w:t>中标（成交）</w:t>
      </w:r>
      <w:r>
        <w:rPr>
          <w:rFonts w:hint="eastAsia" w:ascii="宋体" w:hAnsi="宋体"/>
          <w:bCs/>
          <w:sz w:val="24"/>
          <w:highlight w:val="none"/>
          <w:lang w:val="zh-CN"/>
        </w:rPr>
        <w:t>的，终止采购活动；</w:t>
      </w:r>
    </w:p>
    <w:p w14:paraId="01F285B1">
      <w:pPr>
        <w:snapToGrid w:val="0"/>
        <w:spacing w:line="360" w:lineRule="auto"/>
        <w:ind w:firstLine="480"/>
        <w:jc w:val="left"/>
        <w:rPr>
          <w:rFonts w:ascii="宋体" w:hAnsi="宋体"/>
          <w:bCs/>
          <w:sz w:val="24"/>
          <w:highlight w:val="none"/>
          <w:lang w:val="zh-CN"/>
        </w:rPr>
      </w:pPr>
      <w:r>
        <w:rPr>
          <w:rFonts w:hint="eastAsia" w:ascii="宋体" w:hAnsi="宋体"/>
          <w:bCs/>
          <w:sz w:val="24"/>
          <w:highlight w:val="none"/>
          <w:lang w:val="zh-CN"/>
        </w:rPr>
        <w:t>（二）</w:t>
      </w:r>
      <w:r>
        <w:rPr>
          <w:rFonts w:hint="eastAsia" w:ascii="宋体" w:hAnsi="宋体"/>
          <w:bCs/>
          <w:sz w:val="24"/>
          <w:highlight w:val="none"/>
        </w:rPr>
        <w:t>中标（成交）</w:t>
      </w:r>
      <w:r>
        <w:rPr>
          <w:rFonts w:hint="eastAsia" w:ascii="宋体" w:hAnsi="宋体"/>
          <w:bCs/>
          <w:sz w:val="24"/>
          <w:highlight w:val="none"/>
          <w:lang w:val="zh-CN"/>
        </w:rPr>
        <w:t>已确定，但尚未签署合同的，从合格的中标（成交）候选人中另行确定中标（成交）供应商或重新组织采购；</w:t>
      </w:r>
    </w:p>
    <w:p w14:paraId="6F208797">
      <w:pPr>
        <w:snapToGrid w:val="0"/>
        <w:spacing w:line="360" w:lineRule="auto"/>
        <w:ind w:firstLine="480"/>
        <w:jc w:val="left"/>
        <w:rPr>
          <w:rFonts w:ascii="宋体" w:hAnsi="宋体"/>
          <w:b/>
          <w:sz w:val="24"/>
          <w:highlight w:val="none"/>
          <w:lang w:val="zh-CN"/>
        </w:rPr>
      </w:pPr>
      <w:r>
        <w:rPr>
          <w:rFonts w:hint="eastAsia" w:ascii="宋体" w:hAnsi="宋体"/>
          <w:bCs/>
          <w:sz w:val="24"/>
          <w:highlight w:val="none"/>
          <w:lang w:val="zh-CN"/>
        </w:rPr>
        <w:t>（三）在合同履约期内，发现</w:t>
      </w:r>
      <w:r>
        <w:rPr>
          <w:rFonts w:hint="eastAsia" w:ascii="宋体" w:hAnsi="宋体"/>
          <w:bCs/>
          <w:sz w:val="24"/>
          <w:highlight w:val="none"/>
        </w:rPr>
        <w:t>乙方</w:t>
      </w:r>
      <w:r>
        <w:rPr>
          <w:rFonts w:hint="eastAsia" w:ascii="宋体" w:hAnsi="宋体"/>
          <w:bCs/>
          <w:sz w:val="24"/>
          <w:highlight w:val="none"/>
          <w:lang w:val="zh-CN"/>
        </w:rPr>
        <w:t>有不良行为或行贿行为的，采取降低考核评价分数、降低供货份额、缩短服务期限、终止或解除合同等措施；要求乙方将核心技术资料（香精香料配方、软件源代码等）公开，交给其他供应商使用。</w:t>
      </w:r>
    </w:p>
    <w:p w14:paraId="57557C34">
      <w:pPr>
        <w:snapToGrid w:val="0"/>
        <w:spacing w:line="360" w:lineRule="auto"/>
        <w:jc w:val="center"/>
        <w:outlineLvl w:val="0"/>
        <w:rPr>
          <w:rFonts w:ascii="宋体" w:hAnsi="宋体"/>
          <w:b/>
          <w:sz w:val="24"/>
          <w:highlight w:val="none"/>
          <w:lang w:val="zh-CN"/>
        </w:rPr>
      </w:pPr>
      <w:bookmarkStart w:id="1" w:name="_Toc2928"/>
      <w:bookmarkStart w:id="2" w:name="_Toc7485"/>
      <w:bookmarkStart w:id="3" w:name="_Toc26782"/>
      <w:bookmarkStart w:id="4" w:name="_Toc19134"/>
      <w:r>
        <w:rPr>
          <w:rFonts w:ascii="宋体" w:hAnsi="宋体"/>
          <w:b/>
          <w:sz w:val="24"/>
          <w:highlight w:val="none"/>
          <w:lang w:val="zh-CN"/>
        </w:rPr>
        <w:t>第</w:t>
      </w:r>
      <w:r>
        <w:rPr>
          <w:rFonts w:hint="eastAsia" w:ascii="宋体" w:hAnsi="宋体"/>
          <w:b/>
          <w:sz w:val="24"/>
          <w:highlight w:val="none"/>
          <w:lang w:val="zh-CN"/>
        </w:rPr>
        <w:t>七</w:t>
      </w:r>
      <w:r>
        <w:rPr>
          <w:rFonts w:ascii="宋体" w:hAnsi="宋体"/>
          <w:b/>
          <w:sz w:val="24"/>
          <w:highlight w:val="none"/>
          <w:lang w:val="zh-CN"/>
        </w:rPr>
        <w:t>章 不可抗力</w:t>
      </w:r>
      <w:r>
        <w:rPr>
          <w:rFonts w:hint="eastAsia" w:ascii="宋体" w:hAnsi="宋体"/>
          <w:b/>
          <w:sz w:val="24"/>
          <w:highlight w:val="none"/>
          <w:lang w:val="zh-CN"/>
        </w:rPr>
        <w:t>及责任免除</w:t>
      </w:r>
      <w:bookmarkEnd w:id="1"/>
      <w:bookmarkEnd w:id="2"/>
      <w:bookmarkEnd w:id="3"/>
      <w:bookmarkEnd w:id="4"/>
    </w:p>
    <w:p w14:paraId="2E71F63B">
      <w:pPr>
        <w:snapToGrid w:val="0"/>
        <w:spacing w:line="360" w:lineRule="auto"/>
        <w:ind w:firstLine="482" w:firstLineChars="200"/>
        <w:rPr>
          <w:rFonts w:ascii="宋体" w:hAnsi="宋体"/>
          <w:sz w:val="24"/>
          <w:highlight w:val="none"/>
        </w:rPr>
      </w:pPr>
      <w:bookmarkStart w:id="5" w:name="_Toc17319"/>
      <w:bookmarkStart w:id="6" w:name="_Toc8963"/>
      <w:bookmarkStart w:id="7" w:name="_Toc4525"/>
      <w:r>
        <w:rPr>
          <w:rFonts w:hint="eastAsia" w:ascii="宋体" w:hAnsi="宋体"/>
          <w:b/>
          <w:sz w:val="24"/>
          <w:highlight w:val="none"/>
        </w:rPr>
        <w:t xml:space="preserve">第十八条 </w:t>
      </w:r>
      <w:r>
        <w:rPr>
          <w:rFonts w:hint="eastAsia" w:ascii="宋体" w:hAnsi="宋体"/>
          <w:sz w:val="24"/>
          <w:highlight w:val="none"/>
        </w:rPr>
        <w:t>若因不可抗力因素造成的违约，甲乙双方互不承担责任。</w:t>
      </w:r>
      <w:bookmarkEnd w:id="5"/>
      <w:bookmarkEnd w:id="6"/>
      <w:bookmarkEnd w:id="7"/>
    </w:p>
    <w:p w14:paraId="6F8B4821">
      <w:pPr>
        <w:snapToGrid w:val="0"/>
        <w:spacing w:line="360" w:lineRule="auto"/>
        <w:ind w:firstLine="482" w:firstLineChars="200"/>
        <w:rPr>
          <w:rFonts w:ascii="宋体" w:hAnsi="宋体"/>
          <w:sz w:val="24"/>
          <w:highlight w:val="none"/>
        </w:rPr>
      </w:pPr>
      <w:r>
        <w:rPr>
          <w:rFonts w:hint="eastAsia" w:ascii="宋体" w:hAnsi="宋体"/>
          <w:b/>
          <w:sz w:val="24"/>
          <w:highlight w:val="none"/>
        </w:rPr>
        <w:t xml:space="preserve">第十九条 </w:t>
      </w:r>
      <w:r>
        <w:rPr>
          <w:rFonts w:ascii="宋体" w:hAnsi="宋体"/>
          <w:bCs/>
          <w:sz w:val="24"/>
          <w:highlight w:val="none"/>
        </w:rPr>
        <w:t>不可抗力指双方签订本合同后发生的、不能预见、不能避免且不能克服的客观事件，包括但不限于自然灾害（如地震、洪水、台风）、社会事件（如战争、罢工、暴乱）、政府行为（如政策变更、征收、禁令）等。如发生不可抗力事件，受影响的方可部分或全部免除责任，但应在事件发生后十五个日历天内书面通知对方，并提供相关证明文件（如政府公告、新闻报道、商会或公证机构出具的证明）。如不可抗力事件持续超过六十个日历天，任何一方有权解除合同，且双方互不承担违约责任。双方因不可抗力原因导致不能继续履行本合同时，在双方协商的基础上可以决定终止本合同，有关费用及劳务以实际履行部分进行清算。因不可抗力事件导致的损失，由双方合理分担。</w:t>
      </w:r>
    </w:p>
    <w:p w14:paraId="0B4FC0E6">
      <w:pPr>
        <w:spacing w:line="480" w:lineRule="exact"/>
        <w:jc w:val="center"/>
        <w:rPr>
          <w:rFonts w:ascii="宋体" w:hAnsi="宋体"/>
          <w:b/>
          <w:sz w:val="24"/>
          <w:highlight w:val="none"/>
        </w:rPr>
      </w:pPr>
      <w:r>
        <w:rPr>
          <w:rFonts w:hint="eastAsia" w:ascii="宋体" w:hAnsi="宋体"/>
          <w:b/>
          <w:sz w:val="24"/>
          <w:highlight w:val="none"/>
        </w:rPr>
        <w:t>第</w:t>
      </w:r>
      <w:r>
        <w:rPr>
          <w:rFonts w:ascii="宋体" w:hAnsi="宋体"/>
          <w:b/>
          <w:sz w:val="24"/>
          <w:highlight w:val="none"/>
        </w:rPr>
        <w:t>八</w:t>
      </w:r>
      <w:r>
        <w:rPr>
          <w:rFonts w:hint="eastAsia" w:ascii="宋体" w:hAnsi="宋体"/>
          <w:b/>
          <w:sz w:val="24"/>
          <w:highlight w:val="none"/>
        </w:rPr>
        <w:t>章  争议解决方式</w:t>
      </w:r>
    </w:p>
    <w:p w14:paraId="09A6485D">
      <w:pPr>
        <w:spacing w:line="360" w:lineRule="auto"/>
        <w:ind w:left="210" w:leftChars="100" w:right="210" w:rightChars="100"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第二十条  争议解决方式</w:t>
      </w:r>
    </w:p>
    <w:p w14:paraId="652A9A35">
      <w:pPr>
        <w:spacing w:line="360" w:lineRule="auto"/>
        <w:ind w:left="210" w:leftChars="100" w:right="210" w:rightChars="100" w:firstLine="464" w:firstLineChars="200"/>
        <w:rPr>
          <w:rFonts w:ascii="宋体" w:hAnsi="宋体" w:cs="宋体"/>
          <w:spacing w:val="-4"/>
          <w:sz w:val="24"/>
          <w:highlight w:val="none"/>
        </w:rPr>
      </w:pPr>
      <w:r>
        <w:rPr>
          <w:rFonts w:hint="eastAsia" w:ascii="宋体" w:hAnsi="宋体" w:cs="宋体"/>
          <w:spacing w:val="-4"/>
          <w:sz w:val="24"/>
          <w:highlight w:val="none"/>
        </w:rPr>
        <w:t>甲乙双方因履行本合同发生纠纷时，可以协商解决，协商不成的，任何一方均有权向</w:t>
      </w:r>
      <w:r>
        <w:rPr>
          <w:rFonts w:hint="eastAsia" w:ascii="宋体" w:hAnsi="宋体" w:cs="宋体"/>
          <w:spacing w:val="-4"/>
          <w:sz w:val="24"/>
          <w:highlight w:val="none"/>
          <w:u w:val="single"/>
        </w:rPr>
        <w:t xml:space="preserve"> 甲方所在地 </w:t>
      </w:r>
      <w:r>
        <w:rPr>
          <w:rFonts w:hint="eastAsia" w:ascii="宋体" w:hAnsi="宋体" w:cs="宋体"/>
          <w:spacing w:val="-4"/>
          <w:sz w:val="24"/>
          <w:highlight w:val="none"/>
        </w:rPr>
        <w:t>人民法院提起诉讼。</w:t>
      </w:r>
    </w:p>
    <w:p w14:paraId="66B00834">
      <w:pPr>
        <w:snapToGrid w:val="0"/>
        <w:spacing w:line="360" w:lineRule="auto"/>
        <w:jc w:val="center"/>
        <w:outlineLvl w:val="0"/>
        <w:rPr>
          <w:rFonts w:ascii="宋体" w:hAnsi="宋体"/>
          <w:b/>
          <w:sz w:val="24"/>
          <w:highlight w:val="none"/>
        </w:rPr>
      </w:pPr>
      <w:r>
        <w:rPr>
          <w:rFonts w:hint="eastAsia" w:ascii="宋体" w:hAnsi="宋体"/>
          <w:b/>
          <w:sz w:val="24"/>
          <w:highlight w:val="none"/>
          <w:lang w:val="zh-CN"/>
        </w:rPr>
        <w:t>第</w:t>
      </w:r>
      <w:r>
        <w:rPr>
          <w:rFonts w:ascii="宋体" w:hAnsi="宋体"/>
          <w:b/>
          <w:sz w:val="24"/>
          <w:highlight w:val="none"/>
        </w:rPr>
        <w:t>九</w:t>
      </w:r>
      <w:r>
        <w:rPr>
          <w:rFonts w:hint="eastAsia" w:ascii="宋体" w:hAnsi="宋体"/>
          <w:b/>
          <w:sz w:val="24"/>
          <w:highlight w:val="none"/>
          <w:lang w:val="zh-CN"/>
        </w:rPr>
        <w:t xml:space="preserve">章 </w:t>
      </w:r>
      <w:r>
        <w:rPr>
          <w:rFonts w:hint="eastAsia" w:ascii="宋体" w:hAnsi="宋体"/>
          <w:b/>
          <w:sz w:val="24"/>
          <w:highlight w:val="none"/>
        </w:rPr>
        <w:t xml:space="preserve"> </w:t>
      </w:r>
      <w:r>
        <w:rPr>
          <w:rFonts w:ascii="宋体" w:hAnsi="宋体"/>
          <w:b/>
          <w:sz w:val="24"/>
          <w:highlight w:val="none"/>
          <w:lang w:val="zh-CN"/>
        </w:rPr>
        <w:t>合同生效及其他</w:t>
      </w:r>
    </w:p>
    <w:p w14:paraId="2931FC6D">
      <w:pPr>
        <w:spacing w:line="480" w:lineRule="exact"/>
        <w:jc w:val="left"/>
        <w:rPr>
          <w:rFonts w:ascii="宋体" w:hAnsi="宋体"/>
          <w:sz w:val="24"/>
          <w:highlight w:val="none"/>
        </w:rPr>
      </w:pPr>
      <w:r>
        <w:rPr>
          <w:rFonts w:hint="eastAsia" w:ascii="宋体" w:hAnsi="宋体"/>
          <w:b/>
          <w:sz w:val="24"/>
          <w:highlight w:val="none"/>
        </w:rPr>
        <w:t xml:space="preserve">    第二十一条 </w:t>
      </w:r>
      <w:r>
        <w:rPr>
          <w:rFonts w:ascii="宋体" w:hAnsi="宋体"/>
          <w:sz w:val="24"/>
          <w:highlight w:val="none"/>
        </w:rPr>
        <w:t>本合同的订立</w:t>
      </w:r>
      <w:r>
        <w:rPr>
          <w:rFonts w:hint="eastAsia" w:ascii="宋体" w:hAnsi="宋体"/>
          <w:sz w:val="24"/>
          <w:highlight w:val="none"/>
        </w:rPr>
        <w:t>、</w:t>
      </w:r>
      <w:r>
        <w:rPr>
          <w:rFonts w:ascii="宋体" w:hAnsi="宋体"/>
          <w:sz w:val="24"/>
          <w:highlight w:val="none"/>
        </w:rPr>
        <w:t>效力</w:t>
      </w:r>
      <w:r>
        <w:rPr>
          <w:rFonts w:hint="eastAsia" w:ascii="宋体" w:hAnsi="宋体"/>
          <w:sz w:val="24"/>
          <w:highlight w:val="none"/>
        </w:rPr>
        <w:t>、</w:t>
      </w:r>
      <w:r>
        <w:rPr>
          <w:rFonts w:ascii="宋体" w:hAnsi="宋体"/>
          <w:sz w:val="24"/>
          <w:highlight w:val="none"/>
        </w:rPr>
        <w:t>解释和履行以及本合同所发生的任何争议均适用中国法律。</w:t>
      </w:r>
    </w:p>
    <w:p w14:paraId="562643B4">
      <w:pPr>
        <w:snapToGrid w:val="0"/>
        <w:spacing w:line="360" w:lineRule="auto"/>
        <w:ind w:firstLine="482" w:firstLineChars="200"/>
        <w:rPr>
          <w:rFonts w:ascii="宋体" w:hAnsi="宋体"/>
          <w:sz w:val="24"/>
          <w:highlight w:val="none"/>
        </w:rPr>
      </w:pPr>
      <w:r>
        <w:rPr>
          <w:rFonts w:hint="eastAsia" w:ascii="宋体" w:hAnsi="宋体"/>
          <w:b/>
          <w:sz w:val="24"/>
          <w:highlight w:val="none"/>
        </w:rPr>
        <w:t xml:space="preserve">第二十二条 </w:t>
      </w:r>
      <w:r>
        <w:rPr>
          <w:rFonts w:ascii="宋体" w:hAnsi="宋体"/>
          <w:sz w:val="24"/>
          <w:highlight w:val="none"/>
        </w:rPr>
        <w:t>本合同原本为中文本，一式</w:t>
      </w:r>
      <w:r>
        <w:rPr>
          <w:rFonts w:hint="eastAsia" w:ascii="宋体" w:hAnsi="宋体"/>
          <w:sz w:val="24"/>
          <w:highlight w:val="none"/>
          <w:u w:val="single"/>
        </w:rPr>
        <w:t xml:space="preserve"> 陆 </w:t>
      </w:r>
      <w:r>
        <w:rPr>
          <w:rFonts w:ascii="宋体" w:hAnsi="宋体"/>
          <w:sz w:val="24"/>
          <w:highlight w:val="none"/>
        </w:rPr>
        <w:t>份，甲</w:t>
      </w:r>
      <w:r>
        <w:rPr>
          <w:rFonts w:hint="eastAsia" w:ascii="宋体" w:hAnsi="宋体"/>
          <w:sz w:val="24"/>
          <w:highlight w:val="none"/>
        </w:rPr>
        <w:t>方</w:t>
      </w:r>
      <w:r>
        <w:rPr>
          <w:rFonts w:ascii="宋体" w:hAnsi="宋体"/>
          <w:sz w:val="24"/>
          <w:highlight w:val="none"/>
        </w:rPr>
        <w:t>执</w:t>
      </w:r>
      <w:r>
        <w:rPr>
          <w:rFonts w:hint="eastAsia" w:ascii="宋体" w:hAnsi="宋体"/>
          <w:sz w:val="24"/>
          <w:highlight w:val="none"/>
          <w:u w:val="single"/>
        </w:rPr>
        <w:t xml:space="preserve"> 叁 </w:t>
      </w:r>
      <w:r>
        <w:rPr>
          <w:rFonts w:ascii="宋体" w:hAnsi="宋体"/>
          <w:sz w:val="24"/>
          <w:highlight w:val="none"/>
        </w:rPr>
        <w:t>份，乙方执</w:t>
      </w:r>
      <w:r>
        <w:rPr>
          <w:rFonts w:hint="eastAsia" w:ascii="宋体" w:hAnsi="宋体"/>
          <w:sz w:val="24"/>
          <w:highlight w:val="none"/>
          <w:u w:val="single"/>
        </w:rPr>
        <w:t xml:space="preserve"> 叁 </w:t>
      </w:r>
      <w:r>
        <w:rPr>
          <w:rFonts w:ascii="宋体" w:hAnsi="宋体"/>
          <w:sz w:val="24"/>
          <w:highlight w:val="none"/>
        </w:rPr>
        <w:t>份，具有同等法律效力。</w:t>
      </w:r>
    </w:p>
    <w:p w14:paraId="6F518635">
      <w:pPr>
        <w:snapToGrid w:val="0"/>
        <w:spacing w:line="360" w:lineRule="auto"/>
        <w:ind w:firstLine="482" w:firstLineChars="200"/>
        <w:rPr>
          <w:rFonts w:ascii="宋体" w:hAnsi="宋体"/>
          <w:sz w:val="24"/>
          <w:highlight w:val="none"/>
        </w:rPr>
      </w:pPr>
      <w:r>
        <w:rPr>
          <w:rFonts w:hint="eastAsia" w:ascii="宋体" w:hAnsi="宋体"/>
          <w:b/>
          <w:sz w:val="24"/>
          <w:highlight w:val="none"/>
        </w:rPr>
        <w:t xml:space="preserve">第二十三条 </w:t>
      </w:r>
      <w:r>
        <w:rPr>
          <w:rFonts w:hint="eastAsia" w:ascii="宋体" w:hAnsi="宋体"/>
          <w:sz w:val="24"/>
          <w:highlight w:val="none"/>
        </w:rPr>
        <w:t>在履行本</w:t>
      </w:r>
      <w:r>
        <w:rPr>
          <w:rFonts w:ascii="宋体" w:hAnsi="宋体"/>
          <w:sz w:val="24"/>
          <w:highlight w:val="none"/>
        </w:rPr>
        <w:t>合同</w:t>
      </w:r>
      <w:r>
        <w:rPr>
          <w:rFonts w:hint="eastAsia" w:ascii="宋体" w:hAnsi="宋体"/>
          <w:sz w:val="24"/>
          <w:highlight w:val="none"/>
        </w:rPr>
        <w:t>中如</w:t>
      </w:r>
      <w:r>
        <w:rPr>
          <w:rFonts w:ascii="宋体" w:hAnsi="宋体"/>
          <w:sz w:val="24"/>
          <w:highlight w:val="none"/>
        </w:rPr>
        <w:t>需对内容做修改</w:t>
      </w:r>
      <w:r>
        <w:rPr>
          <w:rFonts w:hint="eastAsia" w:ascii="宋体" w:hAnsi="宋体"/>
          <w:sz w:val="24"/>
          <w:highlight w:val="none"/>
        </w:rPr>
        <w:t>、</w:t>
      </w:r>
      <w:r>
        <w:rPr>
          <w:rFonts w:ascii="宋体" w:hAnsi="宋体"/>
          <w:sz w:val="24"/>
          <w:highlight w:val="none"/>
        </w:rPr>
        <w:t>补充</w:t>
      </w:r>
      <w:r>
        <w:rPr>
          <w:rFonts w:hint="eastAsia" w:ascii="宋体" w:hAnsi="宋体"/>
          <w:sz w:val="24"/>
          <w:highlight w:val="none"/>
        </w:rPr>
        <w:t>或解除</w:t>
      </w:r>
      <w:r>
        <w:rPr>
          <w:rFonts w:ascii="宋体" w:hAnsi="宋体"/>
          <w:sz w:val="24"/>
          <w:highlight w:val="none"/>
        </w:rPr>
        <w:t>，则需由</w:t>
      </w:r>
      <w:r>
        <w:rPr>
          <w:rFonts w:hint="eastAsia" w:ascii="宋体" w:hAnsi="宋体"/>
          <w:sz w:val="24"/>
          <w:highlight w:val="none"/>
        </w:rPr>
        <w:t>甲、乙</w:t>
      </w:r>
      <w:r>
        <w:rPr>
          <w:rFonts w:ascii="宋体" w:hAnsi="宋体"/>
          <w:sz w:val="24"/>
          <w:highlight w:val="none"/>
        </w:rPr>
        <w:t>双方指定的全权代表签订书面文件方可成立。</w:t>
      </w:r>
    </w:p>
    <w:p w14:paraId="28001E07">
      <w:pPr>
        <w:tabs>
          <w:tab w:val="left" w:pos="7820"/>
        </w:tabs>
        <w:snapToGrid w:val="0"/>
        <w:spacing w:line="360" w:lineRule="auto"/>
        <w:ind w:firstLine="482" w:firstLineChars="200"/>
        <w:rPr>
          <w:rFonts w:hint="eastAsia" w:ascii="宋体" w:hAnsi="宋体"/>
          <w:bCs/>
          <w:sz w:val="24"/>
          <w:highlight w:val="none"/>
        </w:rPr>
      </w:pPr>
      <w:r>
        <w:rPr>
          <w:rFonts w:hint="eastAsia" w:ascii="宋体" w:hAnsi="宋体"/>
          <w:b/>
          <w:sz w:val="24"/>
          <w:highlight w:val="none"/>
        </w:rPr>
        <w:t xml:space="preserve">第二十四条 </w:t>
      </w:r>
      <w:r>
        <w:rPr>
          <w:rFonts w:hint="eastAsia" w:ascii="宋体" w:hAnsi="宋体"/>
          <w:bCs/>
          <w:sz w:val="24"/>
          <w:highlight w:val="none"/>
        </w:rPr>
        <w:t>本合同</w:t>
      </w:r>
      <w:r>
        <w:rPr>
          <w:rFonts w:ascii="宋体" w:hAnsi="宋体"/>
          <w:bCs/>
          <w:sz w:val="24"/>
          <w:highlight w:val="none"/>
        </w:rPr>
        <w:t>经</w:t>
      </w:r>
      <w:r>
        <w:rPr>
          <w:rFonts w:hint="eastAsia" w:ascii="宋体" w:hAnsi="宋体"/>
          <w:bCs/>
          <w:sz w:val="24"/>
          <w:highlight w:val="none"/>
        </w:rPr>
        <w:t>甲、乙</w:t>
      </w:r>
      <w:r>
        <w:rPr>
          <w:rFonts w:ascii="宋体" w:hAnsi="宋体"/>
          <w:bCs/>
          <w:sz w:val="24"/>
          <w:highlight w:val="none"/>
        </w:rPr>
        <w:t>双方签名</w:t>
      </w:r>
      <w:r>
        <w:rPr>
          <w:rFonts w:hint="eastAsia" w:ascii="宋体" w:hAnsi="宋体"/>
          <w:bCs/>
          <w:sz w:val="24"/>
          <w:highlight w:val="none"/>
        </w:rPr>
        <w:t>、</w:t>
      </w:r>
      <w:r>
        <w:rPr>
          <w:rFonts w:ascii="宋体" w:hAnsi="宋体"/>
          <w:bCs/>
          <w:sz w:val="24"/>
          <w:highlight w:val="none"/>
        </w:rPr>
        <w:t>盖章</w:t>
      </w:r>
      <w:r>
        <w:rPr>
          <w:rFonts w:hint="eastAsia" w:ascii="宋体" w:hAnsi="宋体"/>
          <w:bCs/>
          <w:sz w:val="24"/>
          <w:highlight w:val="none"/>
        </w:rPr>
        <w:t>，正式生效</w:t>
      </w:r>
      <w:r>
        <w:rPr>
          <w:rFonts w:ascii="宋体" w:hAnsi="宋体"/>
          <w:bCs/>
          <w:sz w:val="24"/>
          <w:highlight w:val="none"/>
        </w:rPr>
        <w:t>。</w:t>
      </w:r>
    </w:p>
    <w:p w14:paraId="122ED403">
      <w:pPr>
        <w:spacing w:line="360" w:lineRule="auto"/>
        <w:ind w:right="210" w:rightChars="100"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第二十五条 </w:t>
      </w:r>
      <w:r>
        <w:rPr>
          <w:rFonts w:hint="eastAsia" w:ascii="宋体" w:hAnsi="宋体" w:cs="宋体"/>
          <w:color w:val="000000"/>
          <w:sz w:val="24"/>
          <w:highlight w:val="none"/>
        </w:rPr>
        <w:t>为更好的履行合同，甲方、乙方分别指定下列联系人，负责合同事务的日常沟通、转达、函件收发及</w:t>
      </w:r>
      <w:r>
        <w:rPr>
          <w:rFonts w:hint="eastAsia" w:ascii="宋体" w:hAnsi="宋体" w:cs="宋体"/>
          <w:bCs/>
          <w:sz w:val="24"/>
          <w:highlight w:val="none"/>
        </w:rPr>
        <w:t>单次卷烟纸箱回收销售单的签名确认</w:t>
      </w:r>
      <w:r>
        <w:rPr>
          <w:rFonts w:hint="eastAsia" w:ascii="宋体" w:hAnsi="宋体" w:cs="宋体"/>
          <w:color w:val="000000"/>
          <w:sz w:val="24"/>
          <w:highlight w:val="none"/>
        </w:rPr>
        <w:t>。联系人如有变更，应提前</w:t>
      </w:r>
      <w:r>
        <w:rPr>
          <w:rFonts w:hint="eastAsia" w:ascii="宋体" w:hAnsi="宋体" w:cs="宋体"/>
          <w:color w:val="000000"/>
          <w:sz w:val="24"/>
          <w:highlight w:val="none"/>
          <w:u w:val="single"/>
        </w:rPr>
        <w:t xml:space="preserve"> 5 </w:t>
      </w:r>
      <w:r>
        <w:rPr>
          <w:rFonts w:hint="eastAsia" w:ascii="宋体" w:hAnsi="宋体" w:cs="宋体"/>
          <w:color w:val="000000"/>
          <w:sz w:val="24"/>
          <w:highlight w:val="none"/>
        </w:rPr>
        <w:t>日告知对方，因未及时告知导致的沟通不畅、履约差错等，由未告知一方负责。</w:t>
      </w:r>
    </w:p>
    <w:p w14:paraId="68DB30C1">
      <w:pPr>
        <w:spacing w:line="360" w:lineRule="auto"/>
        <w:ind w:left="210" w:leftChars="100" w:right="210" w:rightChars="100" w:firstLine="451" w:firstLineChars="188"/>
        <w:rPr>
          <w:rFonts w:ascii="宋体" w:hAnsi="宋体" w:cs="宋体"/>
          <w:sz w:val="24"/>
          <w:highlight w:val="none"/>
        </w:rPr>
      </w:pPr>
      <w:r>
        <w:rPr>
          <w:rFonts w:hint="eastAsia" w:ascii="宋体" w:hAnsi="宋体" w:cs="宋体"/>
          <w:sz w:val="24"/>
          <w:highlight w:val="none"/>
        </w:rPr>
        <w:t>甲方指定</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为联系人，联系电话：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，电子邮箱：</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14:paraId="535027AF">
      <w:pPr>
        <w:spacing w:line="360" w:lineRule="auto"/>
        <w:ind w:left="210" w:leftChars="100" w:right="210" w:rightChars="100" w:firstLine="451" w:firstLineChars="188"/>
        <w:rPr>
          <w:rFonts w:ascii="宋体" w:hAnsi="宋体" w:cs="宋体"/>
          <w:sz w:val="24"/>
          <w:highlight w:val="none"/>
        </w:rPr>
      </w:pPr>
      <w:r>
        <w:rPr>
          <w:rFonts w:hint="eastAsia" w:ascii="宋体" w:hAnsi="宋体" w:cs="宋体"/>
          <w:sz w:val="24"/>
          <w:highlight w:val="none"/>
        </w:rPr>
        <w:t>乙方指定</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为联系人，联系电话：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，电子邮箱：</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14:paraId="3FCA0321">
      <w:pPr>
        <w:spacing w:line="480" w:lineRule="exact"/>
        <w:rPr>
          <w:rFonts w:ascii="宋体" w:hAnsi="宋体"/>
          <w:sz w:val="24"/>
          <w:highlight w:val="none"/>
        </w:rPr>
      </w:pPr>
    </w:p>
    <w:p w14:paraId="6563E7C9">
      <w:pPr>
        <w:spacing w:line="480" w:lineRule="exact"/>
        <w:rPr>
          <w:rFonts w:ascii="宋体" w:hAnsi="宋体"/>
          <w:sz w:val="24"/>
          <w:highlight w:val="none"/>
        </w:rPr>
      </w:pPr>
    </w:p>
    <w:tbl>
      <w:tblPr>
        <w:tblStyle w:val="10"/>
        <w:tblW w:w="9900" w:type="dxa"/>
        <w:tblInd w:w="-50" w:type="dxa"/>
        <w:tblLayout w:type="fixed"/>
        <w:tblCellMar>
          <w:top w:w="0" w:type="dxa"/>
          <w:left w:w="108" w:type="dxa"/>
          <w:bottom w:w="0" w:type="dxa"/>
          <w:right w:w="108" w:type="dxa"/>
        </w:tblCellMar>
      </w:tblPr>
      <w:tblGrid>
        <w:gridCol w:w="4932"/>
        <w:gridCol w:w="4968"/>
      </w:tblGrid>
      <w:tr w14:paraId="0B30FAC7">
        <w:tblPrEx>
          <w:tblCellMar>
            <w:top w:w="0" w:type="dxa"/>
            <w:left w:w="108" w:type="dxa"/>
            <w:bottom w:w="0" w:type="dxa"/>
            <w:right w:w="108" w:type="dxa"/>
          </w:tblCellMar>
        </w:tblPrEx>
        <w:trPr>
          <w:trHeight w:val="2193" w:hRule="atLeast"/>
        </w:trPr>
        <w:tc>
          <w:tcPr>
            <w:tcW w:w="4932" w:type="dxa"/>
            <w:tcBorders>
              <w:top w:val="nil"/>
              <w:left w:val="nil"/>
              <w:bottom w:val="nil"/>
              <w:right w:val="nil"/>
            </w:tcBorders>
            <w:noWrap w:val="0"/>
            <w:vAlign w:val="top"/>
          </w:tcPr>
          <w:p w14:paraId="4825841E">
            <w:pPr>
              <w:spacing w:line="360" w:lineRule="auto"/>
              <w:rPr>
                <w:rFonts w:ascii="宋体" w:hAnsi="宋体" w:cs="仿宋"/>
                <w:color w:val="0C0C0C"/>
                <w:sz w:val="24"/>
                <w:szCs w:val="24"/>
                <w:highlight w:val="none"/>
              </w:rPr>
            </w:pPr>
          </w:p>
          <w:p w14:paraId="0D712BA0">
            <w:pPr>
              <w:spacing w:line="360" w:lineRule="auto"/>
              <w:rPr>
                <w:rFonts w:ascii="宋体" w:hAnsi="宋体" w:cs="仿宋"/>
                <w:color w:val="0C0C0C"/>
                <w:sz w:val="24"/>
                <w:szCs w:val="24"/>
                <w:highlight w:val="none"/>
              </w:rPr>
            </w:pPr>
          </w:p>
          <w:p w14:paraId="6CEBCB57">
            <w:pPr>
              <w:spacing w:line="360" w:lineRule="auto"/>
              <w:rPr>
                <w:rFonts w:ascii="宋体" w:hAnsi="宋体" w:cs="仿宋"/>
                <w:color w:val="0C0C0C"/>
                <w:sz w:val="24"/>
                <w:szCs w:val="24"/>
                <w:highlight w:val="none"/>
              </w:rPr>
            </w:pPr>
          </w:p>
          <w:p w14:paraId="5E03B92A">
            <w:pPr>
              <w:spacing w:line="360" w:lineRule="auto"/>
              <w:rPr>
                <w:rFonts w:ascii="宋体" w:hAnsi="宋体"/>
                <w:color w:val="0C0C0C"/>
                <w:sz w:val="24"/>
                <w:szCs w:val="24"/>
                <w:highlight w:val="none"/>
              </w:rPr>
            </w:pPr>
            <w:r>
              <w:rPr>
                <w:rFonts w:hint="eastAsia" w:ascii="宋体" w:hAnsi="宋体" w:cs="仿宋"/>
                <w:color w:val="0C0C0C"/>
                <w:sz w:val="24"/>
                <w:szCs w:val="24"/>
                <w:highlight w:val="none"/>
              </w:rPr>
              <w:t>甲方（盖章）：</w:t>
            </w:r>
            <w:r>
              <w:rPr>
                <w:rFonts w:hint="eastAsia" w:ascii="宋体" w:hAnsi="宋体" w:cs="仿宋"/>
                <w:color w:val="0C0C0C"/>
                <w:sz w:val="24"/>
                <w:szCs w:val="24"/>
                <w:highlight w:val="none"/>
                <w:u w:val="single"/>
              </w:rPr>
              <w:t xml:space="preserve">                                     </w:t>
            </w:r>
          </w:p>
        </w:tc>
        <w:tc>
          <w:tcPr>
            <w:tcW w:w="4968" w:type="dxa"/>
            <w:tcBorders>
              <w:top w:val="nil"/>
              <w:left w:val="nil"/>
              <w:bottom w:val="nil"/>
              <w:right w:val="nil"/>
            </w:tcBorders>
            <w:noWrap w:val="0"/>
            <w:vAlign w:val="top"/>
          </w:tcPr>
          <w:p w14:paraId="7FC43424">
            <w:pPr>
              <w:spacing w:line="360" w:lineRule="auto"/>
              <w:rPr>
                <w:rFonts w:ascii="宋体" w:hAnsi="宋体" w:cs="仿宋"/>
                <w:color w:val="0C0C0C"/>
                <w:sz w:val="24"/>
                <w:szCs w:val="24"/>
                <w:highlight w:val="none"/>
              </w:rPr>
            </w:pPr>
          </w:p>
          <w:p w14:paraId="38D67786">
            <w:pPr>
              <w:spacing w:line="360" w:lineRule="auto"/>
              <w:rPr>
                <w:rFonts w:ascii="宋体" w:hAnsi="宋体" w:cs="仿宋"/>
                <w:color w:val="0C0C0C"/>
                <w:sz w:val="24"/>
                <w:szCs w:val="24"/>
                <w:highlight w:val="none"/>
              </w:rPr>
            </w:pPr>
          </w:p>
          <w:p w14:paraId="5AAA4E6B">
            <w:pPr>
              <w:spacing w:line="360" w:lineRule="auto"/>
              <w:rPr>
                <w:rFonts w:ascii="宋体" w:hAnsi="宋体" w:cs="仿宋"/>
                <w:color w:val="0C0C0C"/>
                <w:sz w:val="24"/>
                <w:szCs w:val="24"/>
                <w:highlight w:val="none"/>
              </w:rPr>
            </w:pPr>
          </w:p>
          <w:p w14:paraId="3211808E">
            <w:pPr>
              <w:spacing w:line="360" w:lineRule="auto"/>
              <w:rPr>
                <w:rFonts w:hint="eastAsia" w:ascii="宋体" w:hAnsi="宋体"/>
                <w:color w:val="0C0C0C"/>
                <w:sz w:val="24"/>
                <w:szCs w:val="24"/>
                <w:highlight w:val="none"/>
              </w:rPr>
            </w:pPr>
            <w:r>
              <w:rPr>
                <w:rFonts w:hint="eastAsia" w:ascii="宋体" w:hAnsi="宋体" w:cs="仿宋"/>
                <w:color w:val="0C0C0C"/>
                <w:sz w:val="24"/>
                <w:szCs w:val="24"/>
                <w:highlight w:val="none"/>
              </w:rPr>
              <w:t>乙方（盖章）：</w:t>
            </w:r>
            <w:r>
              <w:rPr>
                <w:rFonts w:hint="eastAsia" w:ascii="宋体" w:hAnsi="宋体" w:cs="仿宋"/>
                <w:color w:val="0C0C0C"/>
                <w:sz w:val="24"/>
                <w:szCs w:val="24"/>
                <w:highlight w:val="none"/>
                <w:u w:val="single"/>
              </w:rPr>
              <w:t xml:space="preserve">                                  </w:t>
            </w:r>
          </w:p>
        </w:tc>
      </w:tr>
      <w:tr w14:paraId="4A08B584">
        <w:tblPrEx>
          <w:tblCellMar>
            <w:top w:w="0" w:type="dxa"/>
            <w:left w:w="108" w:type="dxa"/>
            <w:bottom w:w="0" w:type="dxa"/>
            <w:right w:w="108" w:type="dxa"/>
          </w:tblCellMar>
        </w:tblPrEx>
        <w:tc>
          <w:tcPr>
            <w:tcW w:w="4932" w:type="dxa"/>
            <w:tcBorders>
              <w:top w:val="nil"/>
              <w:left w:val="nil"/>
              <w:bottom w:val="nil"/>
              <w:right w:val="nil"/>
            </w:tcBorders>
            <w:noWrap w:val="0"/>
            <w:vAlign w:val="top"/>
          </w:tcPr>
          <w:p w14:paraId="04FD8B65">
            <w:pPr>
              <w:spacing w:line="360" w:lineRule="auto"/>
              <w:rPr>
                <w:rFonts w:hint="eastAsia" w:ascii="宋体" w:hAnsi="宋体" w:cs="仿宋"/>
                <w:color w:val="0C0C0C"/>
                <w:sz w:val="24"/>
                <w:szCs w:val="24"/>
                <w:highlight w:val="none"/>
              </w:rPr>
            </w:pPr>
            <w:r>
              <w:rPr>
                <w:rFonts w:hint="eastAsia" w:ascii="宋体" w:hAnsi="宋体" w:cs="仿宋"/>
                <w:color w:val="0C0C0C"/>
                <w:sz w:val="24"/>
                <w:szCs w:val="24"/>
                <w:highlight w:val="none"/>
              </w:rPr>
              <w:t xml:space="preserve">地址：     </w:t>
            </w:r>
          </w:p>
        </w:tc>
        <w:tc>
          <w:tcPr>
            <w:tcW w:w="4968" w:type="dxa"/>
            <w:tcBorders>
              <w:top w:val="nil"/>
              <w:left w:val="nil"/>
              <w:bottom w:val="nil"/>
              <w:right w:val="nil"/>
            </w:tcBorders>
            <w:noWrap w:val="0"/>
            <w:vAlign w:val="top"/>
          </w:tcPr>
          <w:p w14:paraId="0EE7AD59">
            <w:pPr>
              <w:spacing w:line="360" w:lineRule="auto"/>
              <w:rPr>
                <w:rFonts w:hint="eastAsia" w:ascii="宋体" w:hAnsi="宋体" w:cs="仿宋"/>
                <w:color w:val="0C0C0C"/>
                <w:sz w:val="24"/>
                <w:szCs w:val="24"/>
                <w:highlight w:val="none"/>
              </w:rPr>
            </w:pPr>
            <w:r>
              <w:rPr>
                <w:rFonts w:hint="eastAsia" w:ascii="宋体" w:hAnsi="宋体" w:cs="仿宋"/>
                <w:color w:val="0C0C0C"/>
                <w:sz w:val="24"/>
                <w:szCs w:val="24"/>
                <w:highlight w:val="none"/>
              </w:rPr>
              <w:t xml:space="preserve">地址：                             </w:t>
            </w:r>
          </w:p>
        </w:tc>
      </w:tr>
      <w:tr w14:paraId="7D7BD193">
        <w:tblPrEx>
          <w:tblCellMar>
            <w:top w:w="0" w:type="dxa"/>
            <w:left w:w="108" w:type="dxa"/>
            <w:bottom w:w="0" w:type="dxa"/>
            <w:right w:w="108" w:type="dxa"/>
          </w:tblCellMar>
        </w:tblPrEx>
        <w:tc>
          <w:tcPr>
            <w:tcW w:w="4932" w:type="dxa"/>
            <w:tcBorders>
              <w:top w:val="nil"/>
              <w:left w:val="nil"/>
              <w:bottom w:val="nil"/>
              <w:right w:val="nil"/>
            </w:tcBorders>
            <w:noWrap w:val="0"/>
            <w:vAlign w:val="center"/>
          </w:tcPr>
          <w:p w14:paraId="2921AFAF">
            <w:pPr>
              <w:spacing w:line="360" w:lineRule="auto"/>
              <w:rPr>
                <w:rFonts w:hint="eastAsia" w:ascii="宋体" w:hAnsi="宋体" w:cs="仿宋"/>
                <w:color w:val="0C0C0C"/>
                <w:sz w:val="24"/>
                <w:szCs w:val="24"/>
                <w:highlight w:val="none"/>
              </w:rPr>
            </w:pPr>
          </w:p>
          <w:p w14:paraId="7F82D350">
            <w:pPr>
              <w:pStyle w:val="9"/>
              <w:ind w:left="0" w:leftChars="0" w:firstLine="560"/>
              <w:rPr>
                <w:rFonts w:hint="eastAsia" w:ascii="宋体" w:hAnsi="宋体" w:cs="仿宋"/>
                <w:color w:val="0C0C0C"/>
                <w:sz w:val="24"/>
                <w:szCs w:val="24"/>
                <w:highlight w:val="none"/>
              </w:rPr>
            </w:pPr>
          </w:p>
          <w:p w14:paraId="2A5E0B68">
            <w:pPr>
              <w:spacing w:line="360" w:lineRule="auto"/>
              <w:rPr>
                <w:rFonts w:hint="eastAsia" w:ascii="宋体" w:hAnsi="宋体" w:cs="仿宋"/>
                <w:color w:val="0C0C0C"/>
                <w:sz w:val="24"/>
                <w:szCs w:val="24"/>
                <w:highlight w:val="none"/>
              </w:rPr>
            </w:pPr>
            <w:r>
              <w:rPr>
                <w:rFonts w:hint="eastAsia" w:ascii="宋体" w:hAnsi="宋体" w:cs="仿宋"/>
                <w:color w:val="0C0C0C"/>
                <w:sz w:val="24"/>
                <w:szCs w:val="24"/>
                <w:highlight w:val="none"/>
              </w:rPr>
              <w:t>法定代表人</w:t>
            </w:r>
          </w:p>
          <w:p w14:paraId="76E58568">
            <w:pPr>
              <w:spacing w:line="360" w:lineRule="auto"/>
              <w:rPr>
                <w:rFonts w:hint="eastAsia"/>
                <w:sz w:val="24"/>
                <w:szCs w:val="24"/>
                <w:highlight w:val="none"/>
              </w:rPr>
            </w:pPr>
            <w:r>
              <w:rPr>
                <w:rFonts w:hint="eastAsia" w:ascii="宋体" w:hAnsi="宋体" w:cs="仿宋"/>
                <w:color w:val="0C0C0C"/>
                <w:sz w:val="24"/>
                <w:szCs w:val="24"/>
                <w:highlight w:val="none"/>
              </w:rPr>
              <w:t xml:space="preserve">（或被授权委托人签名）：           </w:t>
            </w:r>
          </w:p>
        </w:tc>
        <w:tc>
          <w:tcPr>
            <w:tcW w:w="4968" w:type="dxa"/>
            <w:tcBorders>
              <w:top w:val="nil"/>
              <w:left w:val="nil"/>
              <w:bottom w:val="nil"/>
              <w:right w:val="nil"/>
            </w:tcBorders>
            <w:noWrap w:val="0"/>
            <w:vAlign w:val="top"/>
          </w:tcPr>
          <w:p w14:paraId="3CEEB33D">
            <w:pPr>
              <w:spacing w:line="360" w:lineRule="auto"/>
              <w:rPr>
                <w:rFonts w:hint="eastAsia" w:ascii="宋体" w:hAnsi="宋体" w:cs="仿宋"/>
                <w:color w:val="0C0C0C"/>
                <w:sz w:val="24"/>
                <w:szCs w:val="24"/>
                <w:highlight w:val="none"/>
              </w:rPr>
            </w:pPr>
          </w:p>
          <w:p w14:paraId="27E3FC64">
            <w:pPr>
              <w:spacing w:line="360" w:lineRule="auto"/>
              <w:rPr>
                <w:rFonts w:hint="eastAsia" w:ascii="宋体" w:hAnsi="宋体" w:cs="仿宋"/>
                <w:color w:val="0C0C0C"/>
                <w:sz w:val="24"/>
                <w:szCs w:val="24"/>
                <w:highlight w:val="none"/>
              </w:rPr>
            </w:pPr>
          </w:p>
          <w:p w14:paraId="19F3032B">
            <w:pPr>
              <w:spacing w:line="360" w:lineRule="auto"/>
              <w:rPr>
                <w:rFonts w:hint="eastAsia" w:ascii="宋体" w:hAnsi="宋体" w:cs="仿宋"/>
                <w:color w:val="0C0C0C"/>
                <w:sz w:val="24"/>
                <w:szCs w:val="24"/>
                <w:highlight w:val="none"/>
              </w:rPr>
            </w:pPr>
            <w:r>
              <w:rPr>
                <w:rFonts w:hint="eastAsia" w:ascii="宋体" w:hAnsi="宋体" w:cs="仿宋"/>
                <w:color w:val="0C0C0C"/>
                <w:sz w:val="24"/>
                <w:szCs w:val="24"/>
                <w:highlight w:val="none"/>
              </w:rPr>
              <w:t>法定代表人</w:t>
            </w:r>
          </w:p>
          <w:p w14:paraId="70371F6A">
            <w:pPr>
              <w:spacing w:line="360" w:lineRule="auto"/>
              <w:rPr>
                <w:rFonts w:hint="eastAsia"/>
                <w:sz w:val="24"/>
                <w:szCs w:val="24"/>
                <w:highlight w:val="none"/>
              </w:rPr>
            </w:pPr>
            <w:r>
              <w:rPr>
                <w:rFonts w:hint="eastAsia" w:ascii="宋体" w:hAnsi="宋体" w:cs="仿宋"/>
                <w:color w:val="0C0C0C"/>
                <w:sz w:val="24"/>
                <w:szCs w:val="24"/>
                <w:highlight w:val="none"/>
              </w:rPr>
              <w:t xml:space="preserve">（或被授权委托人签名）：             </w:t>
            </w:r>
          </w:p>
        </w:tc>
      </w:tr>
      <w:tr w14:paraId="68BEE885">
        <w:tblPrEx>
          <w:tblCellMar>
            <w:top w:w="0" w:type="dxa"/>
            <w:left w:w="108" w:type="dxa"/>
            <w:bottom w:w="0" w:type="dxa"/>
            <w:right w:w="108" w:type="dxa"/>
          </w:tblCellMar>
        </w:tblPrEx>
        <w:tc>
          <w:tcPr>
            <w:tcW w:w="4932" w:type="dxa"/>
            <w:tcBorders>
              <w:top w:val="nil"/>
              <w:left w:val="nil"/>
              <w:bottom w:val="nil"/>
              <w:right w:val="nil"/>
            </w:tcBorders>
            <w:noWrap w:val="0"/>
            <w:vAlign w:val="top"/>
          </w:tcPr>
          <w:p w14:paraId="04B62D1D">
            <w:pPr>
              <w:spacing w:line="360" w:lineRule="auto"/>
              <w:rPr>
                <w:rFonts w:hint="eastAsia" w:ascii="宋体" w:hAnsi="宋体" w:cs="仿宋"/>
                <w:color w:val="0C0C0C"/>
                <w:sz w:val="24"/>
                <w:szCs w:val="24"/>
                <w:highlight w:val="none"/>
              </w:rPr>
            </w:pPr>
          </w:p>
          <w:p w14:paraId="20931373">
            <w:pPr>
              <w:spacing w:line="360" w:lineRule="auto"/>
              <w:rPr>
                <w:rFonts w:hint="eastAsia"/>
                <w:sz w:val="24"/>
                <w:szCs w:val="24"/>
                <w:highlight w:val="none"/>
              </w:rPr>
            </w:pPr>
            <w:r>
              <w:rPr>
                <w:rFonts w:hint="eastAsia" w:ascii="宋体" w:hAnsi="宋体" w:cs="仿宋"/>
                <w:color w:val="0C0C0C"/>
                <w:sz w:val="24"/>
                <w:szCs w:val="24"/>
                <w:highlight w:val="none"/>
              </w:rPr>
              <w:t xml:space="preserve">联系电话：         </w:t>
            </w:r>
          </w:p>
        </w:tc>
        <w:tc>
          <w:tcPr>
            <w:tcW w:w="4968" w:type="dxa"/>
            <w:tcBorders>
              <w:top w:val="nil"/>
              <w:left w:val="nil"/>
              <w:bottom w:val="nil"/>
              <w:right w:val="nil"/>
            </w:tcBorders>
            <w:noWrap w:val="0"/>
            <w:vAlign w:val="top"/>
          </w:tcPr>
          <w:p w14:paraId="106BB17A">
            <w:pPr>
              <w:spacing w:line="360" w:lineRule="auto"/>
              <w:jc w:val="left"/>
              <w:rPr>
                <w:rFonts w:hint="eastAsia" w:ascii="宋体" w:hAnsi="宋体" w:cs="仿宋"/>
                <w:color w:val="0C0C0C"/>
                <w:sz w:val="24"/>
                <w:szCs w:val="24"/>
                <w:highlight w:val="none"/>
              </w:rPr>
            </w:pPr>
          </w:p>
          <w:p w14:paraId="4DD1E5E3">
            <w:pPr>
              <w:spacing w:line="360" w:lineRule="auto"/>
              <w:jc w:val="left"/>
              <w:rPr>
                <w:rFonts w:hint="eastAsia"/>
                <w:sz w:val="24"/>
                <w:szCs w:val="24"/>
                <w:highlight w:val="none"/>
              </w:rPr>
            </w:pPr>
            <w:r>
              <w:rPr>
                <w:rFonts w:hint="eastAsia" w:ascii="宋体" w:hAnsi="宋体" w:cs="仿宋"/>
                <w:color w:val="0C0C0C"/>
                <w:sz w:val="24"/>
                <w:szCs w:val="24"/>
                <w:highlight w:val="none"/>
              </w:rPr>
              <w:t>联系电话：</w:t>
            </w:r>
            <w:r>
              <w:rPr>
                <w:rFonts w:hint="eastAsia" w:ascii="宋体" w:hAnsi="宋体" w:cs="仿宋"/>
                <w:color w:val="0C0C0C"/>
                <w:sz w:val="24"/>
                <w:szCs w:val="24"/>
                <w:highlight w:val="none"/>
                <w:lang w:val="en-US" w:eastAsia="zh-CN"/>
              </w:rPr>
              <w:t xml:space="preserve"> </w:t>
            </w:r>
            <w:r>
              <w:rPr>
                <w:rFonts w:hint="eastAsia" w:ascii="宋体" w:hAnsi="宋体" w:cs="仿宋"/>
                <w:color w:val="0C0C0C"/>
                <w:sz w:val="24"/>
                <w:szCs w:val="24"/>
                <w:highlight w:val="none"/>
              </w:rPr>
              <w:t xml:space="preserve">             </w:t>
            </w:r>
          </w:p>
        </w:tc>
      </w:tr>
      <w:tr w14:paraId="365C8E24">
        <w:tblPrEx>
          <w:tblCellMar>
            <w:top w:w="0" w:type="dxa"/>
            <w:left w:w="108" w:type="dxa"/>
            <w:bottom w:w="0" w:type="dxa"/>
            <w:right w:w="108" w:type="dxa"/>
          </w:tblCellMar>
        </w:tblPrEx>
        <w:tc>
          <w:tcPr>
            <w:tcW w:w="4932" w:type="dxa"/>
            <w:tcBorders>
              <w:top w:val="nil"/>
              <w:left w:val="nil"/>
              <w:bottom w:val="nil"/>
              <w:right w:val="nil"/>
            </w:tcBorders>
            <w:noWrap w:val="0"/>
            <w:vAlign w:val="top"/>
          </w:tcPr>
          <w:p w14:paraId="20987F69">
            <w:pPr>
              <w:spacing w:line="360" w:lineRule="auto"/>
              <w:rPr>
                <w:rFonts w:hint="eastAsia"/>
                <w:sz w:val="24"/>
                <w:szCs w:val="24"/>
                <w:highlight w:val="none"/>
              </w:rPr>
            </w:pPr>
            <w:r>
              <w:rPr>
                <w:rFonts w:hint="eastAsia" w:ascii="宋体" w:hAnsi="宋体" w:cs="仿宋"/>
                <w:color w:val="0C0C0C"/>
                <w:sz w:val="24"/>
                <w:szCs w:val="24"/>
                <w:highlight w:val="none"/>
              </w:rPr>
              <w:t xml:space="preserve">开户银行：    </w:t>
            </w:r>
          </w:p>
        </w:tc>
        <w:tc>
          <w:tcPr>
            <w:tcW w:w="4968" w:type="dxa"/>
            <w:tcBorders>
              <w:top w:val="nil"/>
              <w:left w:val="nil"/>
              <w:bottom w:val="nil"/>
              <w:right w:val="nil"/>
            </w:tcBorders>
            <w:noWrap w:val="0"/>
            <w:vAlign w:val="top"/>
          </w:tcPr>
          <w:p w14:paraId="21357205">
            <w:pPr>
              <w:widowControl/>
              <w:spacing w:line="360" w:lineRule="auto"/>
              <w:jc w:val="left"/>
              <w:rPr>
                <w:rFonts w:hint="eastAsia"/>
                <w:sz w:val="24"/>
                <w:szCs w:val="24"/>
                <w:highlight w:val="none"/>
              </w:rPr>
            </w:pPr>
            <w:r>
              <w:rPr>
                <w:rFonts w:hint="eastAsia" w:ascii="宋体" w:hAnsi="宋体" w:cs="仿宋"/>
                <w:color w:val="0C0C0C"/>
                <w:sz w:val="24"/>
                <w:szCs w:val="24"/>
                <w:highlight w:val="none"/>
              </w:rPr>
              <w:t xml:space="preserve">开户银行：         </w:t>
            </w:r>
          </w:p>
        </w:tc>
      </w:tr>
      <w:tr w14:paraId="531DE7BC">
        <w:tblPrEx>
          <w:tblCellMar>
            <w:top w:w="0" w:type="dxa"/>
            <w:left w:w="108" w:type="dxa"/>
            <w:bottom w:w="0" w:type="dxa"/>
            <w:right w:w="108" w:type="dxa"/>
          </w:tblCellMar>
        </w:tblPrEx>
        <w:tc>
          <w:tcPr>
            <w:tcW w:w="4932" w:type="dxa"/>
            <w:tcBorders>
              <w:top w:val="nil"/>
              <w:left w:val="nil"/>
              <w:bottom w:val="nil"/>
              <w:right w:val="nil"/>
            </w:tcBorders>
            <w:noWrap w:val="0"/>
            <w:vAlign w:val="top"/>
          </w:tcPr>
          <w:p w14:paraId="18F61262">
            <w:pPr>
              <w:spacing w:line="360" w:lineRule="auto"/>
              <w:rPr>
                <w:rFonts w:hint="eastAsia"/>
                <w:sz w:val="24"/>
                <w:szCs w:val="24"/>
                <w:highlight w:val="none"/>
              </w:rPr>
            </w:pPr>
            <w:r>
              <w:rPr>
                <w:rFonts w:hint="eastAsia" w:ascii="宋体" w:hAnsi="宋体" w:cs="仿宋"/>
                <w:color w:val="0C0C0C"/>
                <w:sz w:val="24"/>
                <w:szCs w:val="24"/>
                <w:highlight w:val="none"/>
              </w:rPr>
              <w:t xml:space="preserve">账号名称：      </w:t>
            </w:r>
          </w:p>
        </w:tc>
        <w:tc>
          <w:tcPr>
            <w:tcW w:w="4968" w:type="dxa"/>
            <w:tcBorders>
              <w:top w:val="nil"/>
              <w:left w:val="nil"/>
              <w:bottom w:val="nil"/>
              <w:right w:val="nil"/>
            </w:tcBorders>
            <w:noWrap w:val="0"/>
            <w:vAlign w:val="top"/>
          </w:tcPr>
          <w:p w14:paraId="456393C4">
            <w:pPr>
              <w:widowControl/>
              <w:spacing w:line="360" w:lineRule="auto"/>
              <w:jc w:val="left"/>
              <w:rPr>
                <w:rFonts w:hint="eastAsia"/>
                <w:sz w:val="24"/>
                <w:szCs w:val="24"/>
                <w:highlight w:val="none"/>
              </w:rPr>
            </w:pPr>
            <w:r>
              <w:rPr>
                <w:rFonts w:hint="eastAsia" w:ascii="宋体" w:hAnsi="宋体" w:cs="仿宋"/>
                <w:color w:val="0C0C0C"/>
                <w:sz w:val="24"/>
                <w:szCs w:val="24"/>
                <w:highlight w:val="none"/>
              </w:rPr>
              <w:t>账号名称：</w:t>
            </w:r>
          </w:p>
        </w:tc>
      </w:tr>
      <w:tr w14:paraId="35A07243">
        <w:tblPrEx>
          <w:tblCellMar>
            <w:top w:w="0" w:type="dxa"/>
            <w:left w:w="108" w:type="dxa"/>
            <w:bottom w:w="0" w:type="dxa"/>
            <w:right w:w="108" w:type="dxa"/>
          </w:tblCellMar>
        </w:tblPrEx>
        <w:tc>
          <w:tcPr>
            <w:tcW w:w="4932" w:type="dxa"/>
            <w:tcBorders>
              <w:top w:val="nil"/>
              <w:left w:val="nil"/>
              <w:bottom w:val="nil"/>
              <w:right w:val="nil"/>
            </w:tcBorders>
            <w:noWrap w:val="0"/>
            <w:vAlign w:val="top"/>
          </w:tcPr>
          <w:p w14:paraId="1C9A6E58">
            <w:pPr>
              <w:spacing w:line="360" w:lineRule="auto"/>
              <w:rPr>
                <w:rFonts w:hint="eastAsia"/>
                <w:sz w:val="24"/>
                <w:szCs w:val="24"/>
                <w:highlight w:val="none"/>
              </w:rPr>
            </w:pPr>
            <w:r>
              <w:rPr>
                <w:rFonts w:hint="eastAsia" w:ascii="宋体" w:hAnsi="宋体" w:cs="仿宋"/>
                <w:color w:val="0C0C0C"/>
                <w:sz w:val="24"/>
                <w:szCs w:val="24"/>
                <w:highlight w:val="none"/>
              </w:rPr>
              <w:t>账号：</w:t>
            </w:r>
          </w:p>
        </w:tc>
        <w:tc>
          <w:tcPr>
            <w:tcW w:w="4968" w:type="dxa"/>
            <w:tcBorders>
              <w:top w:val="nil"/>
              <w:left w:val="nil"/>
              <w:bottom w:val="nil"/>
              <w:right w:val="nil"/>
            </w:tcBorders>
            <w:noWrap w:val="0"/>
            <w:vAlign w:val="top"/>
          </w:tcPr>
          <w:p w14:paraId="1DDAAA67">
            <w:pPr>
              <w:widowControl/>
              <w:spacing w:line="360" w:lineRule="auto"/>
              <w:jc w:val="left"/>
              <w:rPr>
                <w:rFonts w:hint="eastAsia"/>
                <w:sz w:val="24"/>
                <w:szCs w:val="24"/>
                <w:highlight w:val="none"/>
              </w:rPr>
            </w:pPr>
            <w:r>
              <w:rPr>
                <w:rFonts w:hint="eastAsia" w:ascii="宋体" w:hAnsi="宋体" w:cs="仿宋"/>
                <w:color w:val="0C0C0C"/>
                <w:sz w:val="24"/>
                <w:szCs w:val="24"/>
                <w:highlight w:val="none"/>
              </w:rPr>
              <w:t xml:space="preserve">账号：        </w:t>
            </w:r>
          </w:p>
        </w:tc>
      </w:tr>
      <w:tr w14:paraId="46C53916">
        <w:tblPrEx>
          <w:tblCellMar>
            <w:top w:w="0" w:type="dxa"/>
            <w:left w:w="108" w:type="dxa"/>
            <w:bottom w:w="0" w:type="dxa"/>
            <w:right w:w="108" w:type="dxa"/>
          </w:tblCellMar>
        </w:tblPrEx>
        <w:tc>
          <w:tcPr>
            <w:tcW w:w="4932" w:type="dxa"/>
            <w:tcBorders>
              <w:top w:val="nil"/>
              <w:left w:val="nil"/>
              <w:bottom w:val="nil"/>
              <w:right w:val="nil"/>
            </w:tcBorders>
            <w:noWrap w:val="0"/>
            <w:vAlign w:val="top"/>
          </w:tcPr>
          <w:p w14:paraId="1C86D312">
            <w:pPr>
              <w:spacing w:line="360" w:lineRule="auto"/>
              <w:rPr>
                <w:rFonts w:hint="eastAsia"/>
                <w:sz w:val="24"/>
                <w:szCs w:val="24"/>
                <w:highlight w:val="none"/>
              </w:rPr>
            </w:pPr>
            <w:r>
              <w:rPr>
                <w:rFonts w:hint="eastAsia" w:ascii="宋体" w:hAnsi="宋体" w:cs="仿宋"/>
                <w:color w:val="0C0C0C"/>
                <w:sz w:val="24"/>
                <w:szCs w:val="24"/>
                <w:highlight w:val="none"/>
              </w:rPr>
              <w:t>日期：</w:t>
            </w:r>
            <w:r>
              <w:rPr>
                <w:rFonts w:ascii="宋体" w:hAnsi="宋体" w:cs="仿宋"/>
                <w:color w:val="0C0C0C"/>
                <w:sz w:val="24"/>
                <w:szCs w:val="24"/>
                <w:highlight w:val="none"/>
              </w:rPr>
              <w:t>202</w:t>
            </w:r>
            <w:r>
              <w:rPr>
                <w:rFonts w:hint="eastAsia" w:ascii="宋体" w:hAnsi="宋体" w:cs="仿宋"/>
                <w:color w:val="0C0C0C"/>
                <w:sz w:val="24"/>
                <w:szCs w:val="24"/>
                <w:highlight w:val="none"/>
                <w:lang w:val="en-US" w:eastAsia="zh-CN"/>
              </w:rPr>
              <w:t>6</w:t>
            </w:r>
            <w:r>
              <w:rPr>
                <w:rFonts w:hint="eastAsia" w:ascii="宋体" w:hAnsi="宋体" w:cs="仿宋"/>
                <w:color w:val="0C0C0C"/>
                <w:sz w:val="24"/>
                <w:szCs w:val="24"/>
                <w:highlight w:val="none"/>
              </w:rPr>
              <w:t>年</w:t>
            </w:r>
            <w:r>
              <w:rPr>
                <w:rFonts w:hint="eastAsia" w:ascii="宋体" w:hAnsi="宋体" w:cs="仿宋"/>
                <w:color w:val="0C0C0C"/>
                <w:sz w:val="24"/>
                <w:szCs w:val="24"/>
                <w:highlight w:val="none"/>
                <w:lang w:val="en-US" w:eastAsia="zh-CN"/>
              </w:rPr>
              <w:t xml:space="preserve">  </w:t>
            </w:r>
            <w:r>
              <w:rPr>
                <w:rFonts w:hint="eastAsia" w:ascii="宋体" w:hAnsi="宋体" w:cs="仿宋"/>
                <w:color w:val="0C0C0C"/>
                <w:sz w:val="24"/>
                <w:szCs w:val="24"/>
                <w:highlight w:val="none"/>
              </w:rPr>
              <w:t>月    日</w:t>
            </w:r>
          </w:p>
        </w:tc>
        <w:tc>
          <w:tcPr>
            <w:tcW w:w="4968" w:type="dxa"/>
            <w:tcBorders>
              <w:top w:val="nil"/>
              <w:left w:val="nil"/>
              <w:bottom w:val="nil"/>
              <w:right w:val="nil"/>
            </w:tcBorders>
            <w:noWrap w:val="0"/>
            <w:vAlign w:val="top"/>
          </w:tcPr>
          <w:p w14:paraId="4B28A3E1">
            <w:pPr>
              <w:widowControl/>
              <w:spacing w:line="360" w:lineRule="auto"/>
              <w:jc w:val="left"/>
              <w:rPr>
                <w:rFonts w:hint="eastAsia"/>
                <w:sz w:val="24"/>
                <w:szCs w:val="24"/>
                <w:highlight w:val="none"/>
              </w:rPr>
            </w:pPr>
            <w:r>
              <w:rPr>
                <w:rFonts w:hint="eastAsia" w:ascii="宋体" w:hAnsi="宋体" w:cs="仿宋"/>
                <w:color w:val="0C0C0C"/>
                <w:sz w:val="24"/>
                <w:szCs w:val="24"/>
                <w:highlight w:val="none"/>
              </w:rPr>
              <w:t>日期：</w:t>
            </w:r>
            <w:r>
              <w:rPr>
                <w:rFonts w:ascii="宋体" w:hAnsi="宋体" w:cs="仿宋"/>
                <w:color w:val="0C0C0C"/>
                <w:sz w:val="24"/>
                <w:szCs w:val="24"/>
                <w:highlight w:val="none"/>
              </w:rPr>
              <w:t>202</w:t>
            </w:r>
            <w:r>
              <w:rPr>
                <w:rFonts w:hint="eastAsia" w:ascii="宋体" w:hAnsi="宋体" w:cs="仿宋"/>
                <w:color w:val="0C0C0C"/>
                <w:sz w:val="24"/>
                <w:szCs w:val="24"/>
                <w:highlight w:val="none"/>
                <w:lang w:val="en-US" w:eastAsia="zh-CN"/>
              </w:rPr>
              <w:t>6</w:t>
            </w:r>
            <w:r>
              <w:rPr>
                <w:rFonts w:hint="eastAsia" w:ascii="宋体" w:hAnsi="宋体" w:cs="仿宋"/>
                <w:color w:val="0C0C0C"/>
                <w:sz w:val="24"/>
                <w:szCs w:val="24"/>
                <w:highlight w:val="none"/>
              </w:rPr>
              <w:t>年</w:t>
            </w:r>
            <w:r>
              <w:rPr>
                <w:rFonts w:hint="eastAsia" w:ascii="宋体" w:hAnsi="宋体" w:cs="仿宋"/>
                <w:color w:val="0C0C0C"/>
                <w:sz w:val="24"/>
                <w:szCs w:val="24"/>
                <w:highlight w:val="none"/>
                <w:lang w:val="en-US" w:eastAsia="zh-CN"/>
              </w:rPr>
              <w:t xml:space="preserve">  </w:t>
            </w:r>
            <w:r>
              <w:rPr>
                <w:rFonts w:hint="eastAsia" w:ascii="宋体" w:hAnsi="宋体" w:cs="仿宋"/>
                <w:color w:val="0C0C0C"/>
                <w:sz w:val="24"/>
                <w:szCs w:val="24"/>
                <w:highlight w:val="none"/>
              </w:rPr>
              <w:t>月    日</w:t>
            </w:r>
          </w:p>
        </w:tc>
      </w:tr>
    </w:tbl>
    <w:p w14:paraId="640CAD69">
      <w:pPr>
        <w:spacing w:line="480" w:lineRule="exact"/>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083AE074">
      <w:pPr>
        <w:spacing w:line="480" w:lineRule="exact"/>
        <w:jc w:val="left"/>
        <w:rPr>
          <w:rFonts w:ascii="宋体" w:hAnsi="宋体" w:cs="宋体"/>
          <w:color w:val="000000" w:themeColor="text1"/>
          <w:sz w:val="24"/>
          <w:highlight w:val="none"/>
          <w14:textFill>
            <w14:solidFill>
              <w14:schemeClr w14:val="tx1"/>
            </w14:solidFill>
          </w14:textFill>
        </w:rPr>
      </w:pPr>
    </w:p>
    <w:p w14:paraId="475F5651">
      <w:pPr>
        <w:spacing w:line="480" w:lineRule="exact"/>
        <w:jc w:val="left"/>
        <w:rPr>
          <w:rFonts w:ascii="宋体" w:hAnsi="宋体" w:cs="宋体"/>
          <w:color w:val="000000" w:themeColor="text1"/>
          <w:sz w:val="24"/>
          <w:highlight w:val="none"/>
          <w14:textFill>
            <w14:solidFill>
              <w14:schemeClr w14:val="tx1"/>
            </w14:solidFill>
          </w14:textFill>
        </w:rPr>
      </w:pPr>
    </w:p>
    <w:p w14:paraId="6B6E81BD">
      <w:pPr>
        <w:spacing w:line="480" w:lineRule="exact"/>
        <w:jc w:val="left"/>
        <w:rPr>
          <w:rFonts w:ascii="宋体" w:hAnsi="宋体" w:cs="宋体"/>
          <w:color w:val="000000" w:themeColor="text1"/>
          <w:sz w:val="24"/>
          <w:highlight w:val="none"/>
          <w14:textFill>
            <w14:solidFill>
              <w14:schemeClr w14:val="tx1"/>
            </w14:solidFill>
          </w14:textFill>
        </w:rPr>
      </w:pPr>
    </w:p>
    <w:p w14:paraId="5D23390A">
      <w:pPr>
        <w:spacing w:line="480" w:lineRule="exact"/>
        <w:jc w:val="left"/>
        <w:rPr>
          <w:rFonts w:ascii="宋体" w:hAnsi="宋体" w:cs="宋体"/>
          <w:color w:val="000000" w:themeColor="text1"/>
          <w:sz w:val="24"/>
          <w:highlight w:val="none"/>
          <w14:textFill>
            <w14:solidFill>
              <w14:schemeClr w14:val="tx1"/>
            </w14:solidFill>
          </w14:textFill>
        </w:rPr>
      </w:pPr>
    </w:p>
    <w:p w14:paraId="38D6856E">
      <w:pPr>
        <w:spacing w:line="480" w:lineRule="exact"/>
        <w:jc w:val="left"/>
        <w:rPr>
          <w:b/>
          <w:bCs/>
          <w:kern w:val="44"/>
          <w:sz w:val="44"/>
          <w:szCs w:val="44"/>
          <w:highlight w:val="none"/>
        </w:rPr>
      </w:pPr>
    </w:p>
    <w:p w14:paraId="4C3CD175">
      <w:pPr>
        <w:spacing w:line="480" w:lineRule="exact"/>
        <w:jc w:val="left"/>
        <w:rPr>
          <w:b/>
          <w:bCs/>
          <w:kern w:val="44"/>
          <w:sz w:val="44"/>
          <w:szCs w:val="44"/>
          <w:highlight w:val="none"/>
        </w:rPr>
      </w:pPr>
    </w:p>
    <w:p w14:paraId="17FF1B79">
      <w:pPr>
        <w:rPr>
          <w:b/>
          <w:bCs/>
          <w:kern w:val="44"/>
          <w:sz w:val="44"/>
          <w:szCs w:val="44"/>
          <w:highlight w:val="none"/>
        </w:rPr>
      </w:pPr>
      <w:r>
        <w:rPr>
          <w:b/>
          <w:bCs/>
          <w:kern w:val="44"/>
          <w:sz w:val="44"/>
          <w:szCs w:val="44"/>
          <w:highlight w:val="none"/>
        </w:rPr>
        <w:br w:type="page"/>
      </w:r>
    </w:p>
    <w:p w14:paraId="3FEDCA96">
      <w:pPr>
        <w:spacing w:line="480" w:lineRule="exact"/>
        <w:jc w:val="left"/>
        <w:rPr>
          <w:b/>
          <w:bCs/>
          <w:kern w:val="44"/>
          <w:sz w:val="44"/>
          <w:szCs w:val="44"/>
          <w:highlight w:val="none"/>
        </w:rPr>
      </w:pPr>
    </w:p>
    <w:p w14:paraId="48AD7F77">
      <w:pPr>
        <w:spacing w:line="480" w:lineRule="exact"/>
        <w:jc w:val="left"/>
        <w:rPr>
          <w:rFonts w:ascii="宋体" w:hAnsi="宋体"/>
          <w:sz w:val="24"/>
          <w:highlight w:val="none"/>
        </w:rPr>
      </w:pPr>
      <w:r>
        <w:rPr>
          <w:rFonts w:hint="eastAsia" w:ascii="宋体" w:hAnsi="宋体" w:cs="宋体"/>
          <w:color w:val="000000" w:themeColor="text1"/>
          <w:sz w:val="24"/>
          <w:highlight w:val="none"/>
          <w14:textFill>
            <w14:solidFill>
              <w14:schemeClr w14:val="tx1"/>
            </w14:solidFill>
          </w14:textFill>
        </w:rPr>
        <w:t>附件1：</w:t>
      </w:r>
    </w:p>
    <w:p w14:paraId="3239D943">
      <w:pPr>
        <w:adjustRightInd w:val="0"/>
        <w:snapToGrid w:val="0"/>
        <w:spacing w:line="460" w:lineRule="exact"/>
        <w:ind w:right="29"/>
        <w:jc w:val="center"/>
        <w:rPr>
          <w:rFonts w:ascii="宋体" w:hAnsi="宋体"/>
          <w:b/>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28"/>
          <w:szCs w:val="28"/>
          <w:highlight w:val="none"/>
          <w:lang w:val="zh-CN"/>
          <w14:textFill>
            <w14:solidFill>
              <w14:schemeClr w14:val="tx1"/>
            </w14:solidFill>
          </w14:textFill>
        </w:rPr>
        <w:t>廉</w:t>
      </w:r>
      <w:r>
        <w:rPr>
          <w:rFonts w:hint="eastAsia" w:ascii="宋体" w:hAnsi="宋体"/>
          <w:b/>
          <w:bCs/>
          <w:color w:val="000000" w:themeColor="text1"/>
          <w:kern w:val="0"/>
          <w:sz w:val="28"/>
          <w:szCs w:val="28"/>
          <w:highlight w:val="none"/>
          <w14:textFill>
            <w14:solidFill>
              <w14:schemeClr w14:val="tx1"/>
            </w14:solidFill>
          </w14:textFill>
        </w:rPr>
        <w:t xml:space="preserve"> </w:t>
      </w:r>
      <w:r>
        <w:rPr>
          <w:rFonts w:hint="eastAsia" w:ascii="宋体" w:hAnsi="宋体" w:cs="宋体"/>
          <w:b/>
          <w:bCs/>
          <w:color w:val="000000" w:themeColor="text1"/>
          <w:kern w:val="0"/>
          <w:sz w:val="28"/>
          <w:szCs w:val="28"/>
          <w:highlight w:val="none"/>
          <w:lang w:val="zh-CN"/>
          <w14:textFill>
            <w14:solidFill>
              <w14:schemeClr w14:val="tx1"/>
            </w14:solidFill>
          </w14:textFill>
        </w:rPr>
        <w:t>洁</w:t>
      </w:r>
      <w:r>
        <w:rPr>
          <w:rFonts w:hint="eastAsia" w:ascii="宋体" w:hAnsi="宋体"/>
          <w:b/>
          <w:bCs/>
          <w:color w:val="000000" w:themeColor="text1"/>
          <w:kern w:val="0"/>
          <w:sz w:val="28"/>
          <w:szCs w:val="28"/>
          <w:highlight w:val="none"/>
          <w14:textFill>
            <w14:solidFill>
              <w14:schemeClr w14:val="tx1"/>
            </w14:solidFill>
          </w14:textFill>
        </w:rPr>
        <w:t xml:space="preserve"> </w:t>
      </w:r>
      <w:r>
        <w:rPr>
          <w:rFonts w:hint="eastAsia" w:ascii="宋体" w:hAnsi="宋体" w:cs="宋体"/>
          <w:b/>
          <w:bCs/>
          <w:color w:val="000000" w:themeColor="text1"/>
          <w:kern w:val="0"/>
          <w:sz w:val="28"/>
          <w:szCs w:val="28"/>
          <w:highlight w:val="none"/>
          <w14:textFill>
            <w14:solidFill>
              <w14:schemeClr w14:val="tx1"/>
            </w14:solidFill>
          </w14:textFill>
        </w:rPr>
        <w:t>合 同</w:t>
      </w:r>
    </w:p>
    <w:p w14:paraId="30E9F00A">
      <w:pPr>
        <w:snapToGrid w:val="0"/>
        <w:spacing w:line="360" w:lineRule="auto"/>
        <w:rPr>
          <w:rFonts w:hint="eastAsia" w:ascii="宋体"/>
          <w:color w:val="000000" w:themeColor="text1"/>
          <w:sz w:val="24"/>
          <w:highlight w:val="none"/>
          <w14:textFill>
            <w14:solidFill>
              <w14:schemeClr w14:val="tx1"/>
            </w14:solidFill>
          </w14:textFill>
        </w:rPr>
      </w:pPr>
    </w:p>
    <w:p w14:paraId="1A00A3F2">
      <w:pPr>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甲方： </w:t>
      </w:r>
      <w:r>
        <w:rPr>
          <w:rFonts w:hint="eastAsia" w:ascii="宋体"/>
          <w:color w:val="000000" w:themeColor="text1"/>
          <w:sz w:val="24"/>
          <w:highlight w:val="none"/>
          <w:u w:val="single"/>
          <w14:textFill>
            <w14:solidFill>
              <w14:schemeClr w14:val="tx1"/>
            </w14:solidFill>
          </w14:textFill>
        </w:rPr>
        <w:t xml:space="preserve"> </w:t>
      </w:r>
      <w:r>
        <w:rPr>
          <w:rFonts w:hint="eastAsia" w:ascii="宋体" w:hAnsi="宋体"/>
          <w:sz w:val="24"/>
          <w:highlight w:val="none"/>
          <w:u w:val="single"/>
        </w:rPr>
        <w:t xml:space="preserve">浙江省烟草公司丽水市公司 </w:t>
      </w:r>
    </w:p>
    <w:p w14:paraId="36036A16">
      <w:pPr>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乙方：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bCs/>
          <w:sz w:val="24"/>
          <w:highlight w:val="none"/>
          <w:u w:val="single"/>
        </w:rPr>
        <w:t xml:space="preserve">  </w:t>
      </w:r>
      <w:r>
        <w:rPr>
          <w:rFonts w:hint="eastAsia" w:ascii="宋体" w:hAnsi="宋体"/>
          <w:sz w:val="24"/>
          <w:highlight w:val="none"/>
          <w:u w:val="single"/>
        </w:rPr>
        <w:t xml:space="preserve">  </w:t>
      </w:r>
      <w:r>
        <w:rPr>
          <w:rFonts w:hint="eastAsia" w:ascii="宋体" w:hAnsi="宋体"/>
          <w:color w:val="000000" w:themeColor="text1"/>
          <w:kern w:val="0"/>
          <w:sz w:val="24"/>
          <w:highlight w:val="none"/>
          <w:u w:val="single"/>
          <w14:textFill>
            <w14:solidFill>
              <w14:schemeClr w14:val="tx1"/>
            </w14:solidFill>
          </w14:textFill>
        </w:rPr>
        <w:t xml:space="preserve"> </w:t>
      </w:r>
    </w:p>
    <w:p w14:paraId="3AE408B0">
      <w:pPr>
        <w:spacing w:line="360" w:lineRule="auto"/>
        <w:ind w:firstLine="480" w:firstLineChars="200"/>
        <w:rPr>
          <w:rFonts w:hint="eastAsia" w:ascii="宋体" w:hAnsi="宋体" w:cs="仿宋"/>
          <w:color w:val="000000"/>
          <w:sz w:val="24"/>
          <w:highlight w:val="none"/>
        </w:rPr>
      </w:pPr>
    </w:p>
    <w:p w14:paraId="74E6FCDE">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根据《中华人民共和国招标投标法》《浙江省烟草专卖商业系统行贿供应商管理实施细则（暂行）》等规定，甲乙双方同意，在此次合同签订、履行过程中将严格遵守国家法律法规的要求，双方郑重承诺：</w:t>
      </w:r>
    </w:p>
    <w:p w14:paraId="5F96798B">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一、不向项目有关人员及部门赠送礼金礼物、有价证券、回扣以及中介费、介绍费、咨询费等好处费；</w:t>
      </w:r>
    </w:p>
    <w:p w14:paraId="06BF54ED">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 xml:space="preserve">二、不为项目有关人员及部门报销应由对方单位或个人支付的费用； </w:t>
      </w:r>
    </w:p>
    <w:p w14:paraId="16078D35">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 xml:space="preserve">三、不向项目有关人员及部门提供有可能影响公正的宴请和健身娱乐等活动； </w:t>
      </w:r>
    </w:p>
    <w:p w14:paraId="5C71F47B">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 xml:space="preserve">四、不为项目有关人员及部门出国（境）、旅游等提供方便； </w:t>
      </w:r>
    </w:p>
    <w:p w14:paraId="0DC3C0CC">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五、不为项目有关人员个人装修住房、婚丧嫁娶、配偶子女工作安排等提供好处；</w:t>
      </w:r>
    </w:p>
    <w:p w14:paraId="514D9365">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六、严格遵守招标投标法、民法典等法律，诚实守信，合法经营，坚决抵制各种违法违纪行为；</w:t>
      </w:r>
    </w:p>
    <w:p w14:paraId="42711182">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七、乙方在接受相关案件查办时，有配合提供依据、作证的义务，如果发生拒不配合监委调查工作的情形，甲方有权采取警示约谈、降低考核评价分数、降低供货份额、缩短服务期限、终止或解除合同等多种处理措施。</w:t>
      </w:r>
    </w:p>
    <w:p w14:paraId="3A13BE81">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如违反上述承诺，甲乙双方均有权立即解除合同，并在一定时期内有权拒绝与对方进行合作。由此引起的相应损失均由过错方承担。</w:t>
      </w:r>
    </w:p>
    <w:p w14:paraId="46864658">
      <w:pPr>
        <w:spacing w:line="360" w:lineRule="auto"/>
        <w:ind w:firstLine="720" w:firstLineChars="200"/>
        <w:rPr>
          <w:color w:val="000000"/>
          <w:sz w:val="36"/>
          <w:highlight w:val="none"/>
        </w:rPr>
      </w:pPr>
    </w:p>
    <w:tbl>
      <w:tblPr>
        <w:tblStyle w:val="10"/>
        <w:tblW w:w="9900" w:type="dxa"/>
        <w:tblInd w:w="-158" w:type="dxa"/>
        <w:tblLayout w:type="fixed"/>
        <w:tblCellMar>
          <w:top w:w="0" w:type="dxa"/>
          <w:left w:w="108" w:type="dxa"/>
          <w:bottom w:w="0" w:type="dxa"/>
          <w:right w:w="108" w:type="dxa"/>
        </w:tblCellMar>
      </w:tblPr>
      <w:tblGrid>
        <w:gridCol w:w="4932"/>
        <w:gridCol w:w="4968"/>
      </w:tblGrid>
      <w:tr w14:paraId="164DF010">
        <w:tblPrEx>
          <w:tblCellMar>
            <w:top w:w="0" w:type="dxa"/>
            <w:left w:w="108" w:type="dxa"/>
            <w:bottom w:w="0" w:type="dxa"/>
            <w:right w:w="108" w:type="dxa"/>
          </w:tblCellMar>
        </w:tblPrEx>
        <w:tc>
          <w:tcPr>
            <w:tcW w:w="4932" w:type="dxa"/>
          </w:tcPr>
          <w:p w14:paraId="5D906C31">
            <w:pPr>
              <w:spacing w:line="360" w:lineRule="auto"/>
              <w:rPr>
                <w:color w:val="000000"/>
                <w:sz w:val="24"/>
                <w:highlight w:val="none"/>
              </w:rPr>
            </w:pPr>
            <w:r>
              <w:rPr>
                <w:rFonts w:hint="eastAsia" w:ascii="宋体" w:hAnsi="宋体"/>
                <w:color w:val="000000"/>
                <w:sz w:val="24"/>
                <w:szCs w:val="21"/>
                <w:highlight w:val="none"/>
              </w:rPr>
              <w:t xml:space="preserve">甲方（盖章）： </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 xml:space="preserve">            </w:t>
            </w:r>
          </w:p>
        </w:tc>
        <w:tc>
          <w:tcPr>
            <w:tcW w:w="4968" w:type="dxa"/>
          </w:tcPr>
          <w:p w14:paraId="621C1AB9">
            <w:pPr>
              <w:spacing w:line="360" w:lineRule="auto"/>
              <w:rPr>
                <w:color w:val="000000"/>
                <w:sz w:val="24"/>
                <w:highlight w:val="none"/>
              </w:rPr>
            </w:pPr>
            <w:r>
              <w:rPr>
                <w:rFonts w:hint="eastAsia" w:ascii="宋体" w:hAnsi="宋体"/>
                <w:color w:val="000000"/>
                <w:sz w:val="24"/>
                <w:szCs w:val="21"/>
                <w:highlight w:val="none"/>
              </w:rPr>
              <w:t xml:space="preserve">乙方（盖章）： </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 xml:space="preserve">        </w:t>
            </w:r>
          </w:p>
        </w:tc>
      </w:tr>
      <w:tr w14:paraId="27D73657">
        <w:tblPrEx>
          <w:tblCellMar>
            <w:top w:w="0" w:type="dxa"/>
            <w:left w:w="108" w:type="dxa"/>
            <w:bottom w:w="0" w:type="dxa"/>
            <w:right w:w="108" w:type="dxa"/>
          </w:tblCellMar>
        </w:tblPrEx>
        <w:tc>
          <w:tcPr>
            <w:tcW w:w="4932" w:type="dxa"/>
          </w:tcPr>
          <w:p w14:paraId="79310FEB">
            <w:pPr>
              <w:spacing w:line="360" w:lineRule="auto"/>
              <w:rPr>
                <w:rFonts w:hint="eastAsia" w:ascii="宋体" w:hAnsi="宋体"/>
                <w:color w:val="000000"/>
                <w:sz w:val="24"/>
                <w:szCs w:val="21"/>
                <w:highlight w:val="none"/>
              </w:rPr>
            </w:pPr>
          </w:p>
          <w:p w14:paraId="119068F9">
            <w:pPr>
              <w:spacing w:line="360" w:lineRule="auto"/>
              <w:rPr>
                <w:color w:val="000000"/>
                <w:sz w:val="24"/>
                <w:highlight w:val="none"/>
              </w:rPr>
            </w:pPr>
            <w:r>
              <w:rPr>
                <w:rFonts w:hint="eastAsia" w:ascii="宋体" w:hAnsi="宋体"/>
                <w:color w:val="000000"/>
                <w:sz w:val="24"/>
                <w:szCs w:val="21"/>
                <w:highlight w:val="none"/>
              </w:rPr>
              <w:t>日期：</w:t>
            </w:r>
            <w:r>
              <w:rPr>
                <w:rFonts w:hint="eastAsia" w:ascii="宋体" w:hAnsi="宋体"/>
                <w:color w:val="000000"/>
                <w:sz w:val="24"/>
                <w:szCs w:val="21"/>
                <w:highlight w:val="none"/>
                <w:u w:val="single"/>
              </w:rPr>
              <w:t xml:space="preserve">                                 </w:t>
            </w:r>
            <w:r>
              <w:rPr>
                <w:rFonts w:hint="eastAsia" w:ascii="宋体" w:hAnsi="宋体"/>
                <w:color w:val="000000"/>
                <w:sz w:val="24"/>
                <w:szCs w:val="21"/>
                <w:highlight w:val="none"/>
              </w:rPr>
              <w:t xml:space="preserve"> </w:t>
            </w:r>
          </w:p>
        </w:tc>
        <w:tc>
          <w:tcPr>
            <w:tcW w:w="4968" w:type="dxa"/>
          </w:tcPr>
          <w:p w14:paraId="57FD5091">
            <w:pPr>
              <w:spacing w:line="360" w:lineRule="auto"/>
              <w:rPr>
                <w:rFonts w:hint="eastAsia" w:ascii="宋体" w:hAnsi="宋体"/>
                <w:color w:val="000000"/>
                <w:sz w:val="24"/>
                <w:szCs w:val="21"/>
                <w:highlight w:val="none"/>
              </w:rPr>
            </w:pPr>
          </w:p>
          <w:p w14:paraId="6AA5749A">
            <w:pPr>
              <w:spacing w:line="360" w:lineRule="auto"/>
              <w:rPr>
                <w:color w:val="000000"/>
                <w:sz w:val="24"/>
                <w:highlight w:val="none"/>
              </w:rPr>
            </w:pPr>
            <w:r>
              <w:rPr>
                <w:rFonts w:hint="eastAsia" w:ascii="宋体" w:hAnsi="宋体"/>
                <w:color w:val="000000"/>
                <w:sz w:val="24"/>
                <w:szCs w:val="21"/>
                <w:highlight w:val="none"/>
              </w:rPr>
              <w:t>日期：</w:t>
            </w:r>
            <w:r>
              <w:rPr>
                <w:rFonts w:hint="eastAsia" w:ascii="宋体" w:hAnsi="宋体"/>
                <w:color w:val="000000"/>
                <w:sz w:val="24"/>
                <w:szCs w:val="21"/>
                <w:highlight w:val="none"/>
                <w:u w:val="single"/>
              </w:rPr>
              <w:t xml:space="preserve">                                  </w:t>
            </w:r>
          </w:p>
        </w:tc>
      </w:tr>
    </w:tbl>
    <w:p w14:paraId="1F93E324">
      <w:pPr>
        <w:snapToGrid w:val="0"/>
        <w:spacing w:line="360" w:lineRule="auto"/>
        <w:rPr>
          <w:rFonts w:ascii="宋体" w:hAnsi="宋体" w:cs="宋体"/>
          <w:sz w:val="24"/>
          <w:highlight w:val="none"/>
        </w:rPr>
      </w:pPr>
    </w:p>
    <w:p w14:paraId="1C27DF0D">
      <w:pPr>
        <w:snapToGrid w:val="0"/>
        <w:spacing w:line="360" w:lineRule="auto"/>
        <w:rPr>
          <w:rFonts w:ascii="宋体" w:hAnsi="宋体" w:cs="宋体"/>
          <w:sz w:val="24"/>
          <w:highlight w:val="none"/>
        </w:rPr>
      </w:pPr>
    </w:p>
    <w:p w14:paraId="028E8E34">
      <w:pPr>
        <w:rPr>
          <w:rFonts w:ascii="宋体" w:hAnsi="宋体" w:cs="宋体"/>
          <w:sz w:val="24"/>
          <w:highlight w:val="none"/>
        </w:rPr>
      </w:pPr>
      <w:r>
        <w:rPr>
          <w:rFonts w:ascii="宋体" w:hAnsi="宋体" w:cs="宋体"/>
          <w:sz w:val="24"/>
          <w:highlight w:val="none"/>
        </w:rPr>
        <w:br w:type="page"/>
      </w:r>
    </w:p>
    <w:p w14:paraId="0B530D92">
      <w:pPr>
        <w:widowControl/>
        <w:rPr>
          <w:rFonts w:hint="eastAsia" w:ascii="宋体" w:hAnsi="宋体"/>
          <w:sz w:val="24"/>
          <w:highlight w:val="none"/>
        </w:rPr>
      </w:pPr>
      <w:r>
        <w:rPr>
          <w:rFonts w:hint="eastAsia" w:ascii="宋体" w:hAnsi="宋体"/>
          <w:sz w:val="24"/>
          <w:highlight w:val="none"/>
        </w:rPr>
        <w:t xml:space="preserve">附件2：                          </w:t>
      </w:r>
    </w:p>
    <w:p w14:paraId="20984053">
      <w:pPr>
        <w:widowControl/>
        <w:jc w:val="center"/>
        <w:rPr>
          <w:rFonts w:ascii="Calibri" w:hAnsi="宋体"/>
          <w:b/>
          <w:sz w:val="28"/>
          <w:szCs w:val="28"/>
          <w:highlight w:val="none"/>
        </w:rPr>
      </w:pPr>
      <w:r>
        <w:rPr>
          <w:rFonts w:hint="eastAsia" w:ascii="Calibri" w:hAnsi="宋体"/>
          <w:b/>
          <w:sz w:val="28"/>
          <w:szCs w:val="28"/>
          <w:highlight w:val="none"/>
        </w:rPr>
        <w:t>年度综合</w:t>
      </w:r>
      <w:r>
        <w:rPr>
          <w:rFonts w:ascii="Calibri" w:hAnsi="宋体"/>
          <w:b/>
          <w:sz w:val="28"/>
          <w:szCs w:val="28"/>
          <w:highlight w:val="none"/>
        </w:rPr>
        <w:t>评价表</w:t>
      </w:r>
    </w:p>
    <w:p w14:paraId="34217FA2">
      <w:pPr>
        <w:widowControl/>
        <w:spacing w:line="360" w:lineRule="auto"/>
        <w:jc w:val="center"/>
        <w:rPr>
          <w:rFonts w:ascii="仿宋" w:hAnsi="仿宋" w:eastAsia="仿宋"/>
          <w:b/>
          <w:color w:val="000000"/>
          <w:sz w:val="24"/>
          <w:highlight w:val="none"/>
        </w:rPr>
      </w:pPr>
      <w:r>
        <w:rPr>
          <w:rFonts w:hint="eastAsia" w:ascii="宋体" w:hAnsi="宋体" w:cs="等线"/>
          <w:color w:val="000000"/>
          <w:kern w:val="0"/>
          <w:szCs w:val="21"/>
          <w:highlight w:val="none"/>
        </w:rPr>
        <w:t>（根据实际情况可调整内容）</w:t>
      </w:r>
    </w:p>
    <w:p w14:paraId="2248BCC8">
      <w:pPr>
        <w:widowControl/>
        <w:jc w:val="right"/>
        <w:rPr>
          <w:rFonts w:ascii="Calibri" w:hAnsi="Calibri"/>
          <w:highlight w:val="none"/>
          <w:lang w:eastAsia="zh-TW"/>
        </w:rPr>
      </w:pPr>
      <w:r>
        <w:rPr>
          <w:rFonts w:ascii="Calibri" w:hAnsi="宋体"/>
          <w:bCs/>
          <w:highlight w:val="none"/>
        </w:rPr>
        <w:t>评价时间：</w:t>
      </w:r>
      <w:r>
        <w:rPr>
          <w:rFonts w:ascii="Calibri" w:hAnsi="Calibri"/>
          <w:bCs/>
          <w:highlight w:val="none"/>
        </w:rPr>
        <w:t xml:space="preserve">     </w:t>
      </w:r>
      <w:r>
        <w:rPr>
          <w:rFonts w:ascii="Calibri" w:hAnsi="宋体"/>
          <w:bCs/>
          <w:highlight w:val="none"/>
        </w:rPr>
        <w:t>年</w:t>
      </w:r>
      <w:r>
        <w:rPr>
          <w:rFonts w:ascii="Calibri" w:hAnsi="Calibri"/>
          <w:bCs/>
          <w:highlight w:val="none"/>
        </w:rPr>
        <w:t xml:space="preserve">    </w:t>
      </w:r>
      <w:r>
        <w:rPr>
          <w:rFonts w:ascii="Calibri" w:hAnsi="宋体"/>
          <w:bCs/>
          <w:highlight w:val="none"/>
        </w:rPr>
        <w:t>月</w:t>
      </w:r>
      <w:r>
        <w:rPr>
          <w:rFonts w:ascii="Calibri" w:hAnsi="Calibri"/>
          <w:bCs/>
          <w:highlight w:val="none"/>
        </w:rPr>
        <w:t xml:space="preserve">   </w:t>
      </w:r>
      <w:r>
        <w:rPr>
          <w:rFonts w:ascii="Calibri" w:hAnsi="宋体"/>
          <w:bCs/>
          <w:highlight w:val="none"/>
        </w:rPr>
        <w:t>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2268"/>
        <w:gridCol w:w="1476"/>
        <w:gridCol w:w="2796"/>
        <w:gridCol w:w="794"/>
        <w:gridCol w:w="1113"/>
      </w:tblGrid>
      <w:tr w14:paraId="05F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noWrap/>
            <w:vAlign w:val="center"/>
          </w:tcPr>
          <w:p w14:paraId="1AA4DA06">
            <w:pPr>
              <w:widowControl/>
              <w:jc w:val="center"/>
              <w:rPr>
                <w:rFonts w:ascii="宋体" w:hAnsi="宋体"/>
                <w:kern w:val="0"/>
                <w:szCs w:val="21"/>
                <w:highlight w:val="none"/>
              </w:rPr>
            </w:pPr>
            <w:r>
              <w:rPr>
                <w:rFonts w:hint="eastAsia" w:ascii="宋体" w:hAnsi="宋体" w:cs="宋体"/>
                <w:kern w:val="0"/>
                <w:szCs w:val="21"/>
                <w:highlight w:val="none"/>
              </w:rPr>
              <w:t>项目名称</w:t>
            </w:r>
          </w:p>
        </w:tc>
        <w:tc>
          <w:tcPr>
            <w:tcW w:w="8447" w:type="dxa"/>
            <w:gridSpan w:val="5"/>
            <w:noWrap/>
            <w:vAlign w:val="center"/>
          </w:tcPr>
          <w:p w14:paraId="754800C4">
            <w:pPr>
              <w:widowControl/>
              <w:jc w:val="center"/>
              <w:rPr>
                <w:rFonts w:ascii="宋体" w:hAnsi="宋体"/>
                <w:kern w:val="0"/>
                <w:szCs w:val="21"/>
                <w:highlight w:val="none"/>
              </w:rPr>
            </w:pPr>
          </w:p>
        </w:tc>
      </w:tr>
      <w:tr w14:paraId="3D65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noWrap/>
            <w:vAlign w:val="center"/>
          </w:tcPr>
          <w:p w14:paraId="002837AA">
            <w:pPr>
              <w:widowControl/>
              <w:jc w:val="center"/>
              <w:rPr>
                <w:rFonts w:ascii="宋体" w:hAnsi="宋体"/>
                <w:kern w:val="0"/>
                <w:szCs w:val="21"/>
                <w:highlight w:val="none"/>
              </w:rPr>
            </w:pPr>
            <w:r>
              <w:rPr>
                <w:rFonts w:hint="eastAsia" w:ascii="宋体" w:hAnsi="宋体" w:cs="宋体"/>
                <w:kern w:val="0"/>
                <w:szCs w:val="21"/>
                <w:highlight w:val="none"/>
              </w:rPr>
              <w:t>采购单位</w:t>
            </w:r>
          </w:p>
        </w:tc>
        <w:tc>
          <w:tcPr>
            <w:tcW w:w="3744" w:type="dxa"/>
            <w:gridSpan w:val="2"/>
            <w:noWrap/>
            <w:vAlign w:val="center"/>
          </w:tcPr>
          <w:p w14:paraId="44838240">
            <w:pPr>
              <w:widowControl/>
              <w:jc w:val="center"/>
              <w:rPr>
                <w:rFonts w:ascii="宋体" w:hAnsi="宋体"/>
                <w:kern w:val="0"/>
                <w:szCs w:val="21"/>
                <w:highlight w:val="none"/>
              </w:rPr>
            </w:pPr>
          </w:p>
        </w:tc>
        <w:tc>
          <w:tcPr>
            <w:tcW w:w="2796" w:type="dxa"/>
            <w:noWrap/>
            <w:vAlign w:val="center"/>
          </w:tcPr>
          <w:p w14:paraId="2A52CB83">
            <w:pPr>
              <w:widowControl/>
              <w:jc w:val="center"/>
              <w:rPr>
                <w:rFonts w:ascii="宋体" w:hAnsi="宋体"/>
                <w:kern w:val="0"/>
                <w:szCs w:val="21"/>
                <w:highlight w:val="none"/>
              </w:rPr>
            </w:pPr>
            <w:r>
              <w:rPr>
                <w:rFonts w:hint="eastAsia" w:ascii="宋体" w:hAnsi="宋体" w:cs="宋体"/>
                <w:bCs/>
                <w:szCs w:val="21"/>
                <w:highlight w:val="none"/>
              </w:rPr>
              <w:t>采购计划编号</w:t>
            </w:r>
          </w:p>
        </w:tc>
        <w:tc>
          <w:tcPr>
            <w:tcW w:w="1907" w:type="dxa"/>
            <w:gridSpan w:val="2"/>
            <w:noWrap/>
            <w:vAlign w:val="center"/>
          </w:tcPr>
          <w:p w14:paraId="6A924597">
            <w:pPr>
              <w:widowControl/>
              <w:jc w:val="center"/>
              <w:rPr>
                <w:rFonts w:ascii="宋体" w:hAnsi="宋体"/>
                <w:kern w:val="0"/>
                <w:szCs w:val="21"/>
                <w:highlight w:val="none"/>
              </w:rPr>
            </w:pPr>
          </w:p>
        </w:tc>
      </w:tr>
      <w:tr w14:paraId="6E3D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noWrap/>
            <w:vAlign w:val="center"/>
          </w:tcPr>
          <w:p w14:paraId="48650C1E">
            <w:pPr>
              <w:widowControl/>
              <w:jc w:val="center"/>
              <w:rPr>
                <w:rFonts w:ascii="宋体" w:hAnsi="宋体"/>
                <w:kern w:val="0"/>
                <w:szCs w:val="21"/>
                <w:highlight w:val="none"/>
              </w:rPr>
            </w:pPr>
            <w:r>
              <w:rPr>
                <w:rFonts w:hint="eastAsia" w:ascii="宋体" w:hAnsi="宋体" w:cs="宋体"/>
                <w:kern w:val="0"/>
                <w:szCs w:val="21"/>
                <w:highlight w:val="none"/>
              </w:rPr>
              <w:t>供应商名称</w:t>
            </w:r>
          </w:p>
        </w:tc>
        <w:tc>
          <w:tcPr>
            <w:tcW w:w="3744" w:type="dxa"/>
            <w:gridSpan w:val="2"/>
            <w:noWrap/>
            <w:vAlign w:val="center"/>
          </w:tcPr>
          <w:p w14:paraId="41DCED17">
            <w:pPr>
              <w:widowControl/>
              <w:jc w:val="center"/>
              <w:rPr>
                <w:rFonts w:ascii="宋体" w:hAnsi="宋体"/>
                <w:kern w:val="0"/>
                <w:szCs w:val="21"/>
                <w:highlight w:val="none"/>
              </w:rPr>
            </w:pPr>
          </w:p>
        </w:tc>
        <w:tc>
          <w:tcPr>
            <w:tcW w:w="2796" w:type="dxa"/>
            <w:noWrap/>
            <w:vAlign w:val="center"/>
          </w:tcPr>
          <w:p w14:paraId="6A255545">
            <w:pPr>
              <w:widowControl/>
              <w:jc w:val="center"/>
              <w:rPr>
                <w:rFonts w:ascii="宋体" w:hAnsi="宋体"/>
                <w:kern w:val="0"/>
                <w:szCs w:val="21"/>
                <w:highlight w:val="none"/>
              </w:rPr>
            </w:pPr>
            <w:r>
              <w:rPr>
                <w:rFonts w:hint="eastAsia" w:ascii="宋体" w:hAnsi="宋体" w:cs="宋体"/>
                <w:kern w:val="0"/>
                <w:szCs w:val="21"/>
                <w:highlight w:val="none"/>
              </w:rPr>
              <w:t>合同起止时间</w:t>
            </w:r>
          </w:p>
        </w:tc>
        <w:tc>
          <w:tcPr>
            <w:tcW w:w="1907" w:type="dxa"/>
            <w:gridSpan w:val="2"/>
            <w:noWrap/>
            <w:vAlign w:val="center"/>
          </w:tcPr>
          <w:p w14:paraId="7ADE4571">
            <w:pPr>
              <w:widowControl/>
              <w:jc w:val="center"/>
              <w:rPr>
                <w:rFonts w:ascii="宋体" w:hAnsi="宋体"/>
                <w:kern w:val="0"/>
                <w:szCs w:val="21"/>
                <w:highlight w:val="none"/>
              </w:rPr>
            </w:pPr>
          </w:p>
        </w:tc>
      </w:tr>
      <w:tr w14:paraId="5C3E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restart"/>
            <w:noWrap/>
            <w:vAlign w:val="center"/>
          </w:tcPr>
          <w:p w14:paraId="406F215D">
            <w:pPr>
              <w:spacing w:line="360" w:lineRule="auto"/>
              <w:jc w:val="center"/>
              <w:rPr>
                <w:rFonts w:ascii="宋体" w:hAnsi="宋体"/>
                <w:kern w:val="0"/>
                <w:szCs w:val="21"/>
                <w:highlight w:val="none"/>
              </w:rPr>
            </w:pPr>
            <w:r>
              <w:rPr>
                <w:rFonts w:hint="eastAsia" w:ascii="宋体" w:hAnsi="宋体" w:cs="宋体"/>
                <w:kern w:val="0"/>
                <w:szCs w:val="21"/>
                <w:highlight w:val="none"/>
              </w:rPr>
              <w:t>一票否决项</w:t>
            </w:r>
          </w:p>
          <w:p w14:paraId="77F10022">
            <w:pPr>
              <w:widowControl/>
              <w:spacing w:line="360" w:lineRule="auto"/>
              <w:jc w:val="center"/>
              <w:rPr>
                <w:rFonts w:ascii="宋体" w:hAnsi="宋体" w:cs="宋体"/>
                <w:kern w:val="0"/>
                <w:szCs w:val="21"/>
                <w:highlight w:val="none"/>
              </w:rPr>
            </w:pPr>
          </w:p>
          <w:p w14:paraId="02CF71A1">
            <w:pPr>
              <w:widowControl/>
              <w:jc w:val="center"/>
              <w:rPr>
                <w:rFonts w:ascii="宋体" w:hAnsi="宋体"/>
                <w:kern w:val="0"/>
                <w:szCs w:val="21"/>
                <w:highlight w:val="none"/>
              </w:rPr>
            </w:pPr>
          </w:p>
        </w:tc>
        <w:tc>
          <w:tcPr>
            <w:tcW w:w="3744" w:type="dxa"/>
            <w:gridSpan w:val="2"/>
            <w:noWrap/>
            <w:vAlign w:val="center"/>
          </w:tcPr>
          <w:p w14:paraId="6D62D8DD">
            <w:pPr>
              <w:widowControl/>
              <w:spacing w:line="360" w:lineRule="auto"/>
              <w:jc w:val="center"/>
              <w:rPr>
                <w:rFonts w:ascii="宋体" w:hAnsi="宋体"/>
                <w:kern w:val="0"/>
                <w:szCs w:val="21"/>
                <w:highlight w:val="none"/>
              </w:rPr>
            </w:pPr>
            <w:r>
              <w:rPr>
                <w:rFonts w:hint="eastAsia" w:ascii="宋体" w:hAnsi="宋体"/>
                <w:kern w:val="0"/>
                <w:szCs w:val="21"/>
                <w:highlight w:val="none"/>
              </w:rPr>
              <w:t>中标（成交）后未按规定签约，或进行违法转包、分包</w:t>
            </w:r>
          </w:p>
        </w:tc>
        <w:tc>
          <w:tcPr>
            <w:tcW w:w="2796" w:type="dxa"/>
            <w:noWrap/>
            <w:vAlign w:val="center"/>
          </w:tcPr>
          <w:p w14:paraId="5C389CD3">
            <w:pPr>
              <w:widowControl/>
              <w:jc w:val="center"/>
              <w:rPr>
                <w:rFonts w:ascii="宋体" w:hAnsi="宋体" w:cs="宋体"/>
                <w:kern w:val="0"/>
                <w:szCs w:val="21"/>
                <w:highlight w:val="none"/>
              </w:rPr>
            </w:pPr>
            <w:r>
              <w:rPr>
                <w:rFonts w:hint="eastAsia" w:ascii="宋体" w:hAnsi="宋体" w:cs="宋体"/>
                <w:kern w:val="0"/>
                <w:szCs w:val="21"/>
                <w:highlight w:val="none"/>
              </w:rPr>
              <w:t>出现此类事项，直接判定为</w:t>
            </w:r>
          </w:p>
          <w:p w14:paraId="13A0D9D9">
            <w:pPr>
              <w:widowControl/>
              <w:jc w:val="center"/>
              <w:rPr>
                <w:rFonts w:ascii="宋体" w:hAnsi="宋体"/>
                <w:kern w:val="0"/>
                <w:szCs w:val="21"/>
                <w:highlight w:val="none"/>
              </w:rPr>
            </w:pPr>
            <w:r>
              <w:rPr>
                <w:rFonts w:hint="eastAsia" w:ascii="宋体" w:hAnsi="宋体" w:cs="宋体"/>
                <w:kern w:val="0"/>
                <w:szCs w:val="21"/>
                <w:highlight w:val="none"/>
              </w:rPr>
              <w:t>不合格供应商</w:t>
            </w:r>
          </w:p>
        </w:tc>
        <w:tc>
          <w:tcPr>
            <w:tcW w:w="1907" w:type="dxa"/>
            <w:gridSpan w:val="2"/>
            <w:noWrap/>
            <w:vAlign w:val="center"/>
          </w:tcPr>
          <w:p w14:paraId="7A228B5A">
            <w:pPr>
              <w:widowControl/>
              <w:spacing w:line="360" w:lineRule="auto"/>
              <w:jc w:val="center"/>
              <w:rPr>
                <w:rFonts w:ascii="宋体" w:hAnsi="宋体"/>
                <w:kern w:val="0"/>
                <w:szCs w:val="21"/>
                <w:highlight w:val="none"/>
              </w:rPr>
            </w:pPr>
            <w:r>
              <w:rPr>
                <w:rFonts w:hint="eastAsia" w:ascii="宋体" w:hAnsi="宋体" w:cs="宋体"/>
                <w:szCs w:val="21"/>
                <w:highlight w:val="none"/>
              </w:rPr>
              <w:t>有</w:t>
            </w:r>
            <w:r>
              <w:rPr>
                <w:rFonts w:hint="eastAsia" w:ascii="宋体" w:hAnsi="宋体" w:cs="宋体"/>
                <w:bCs/>
                <w:color w:val="000000"/>
                <w:sz w:val="24"/>
                <w:highlight w:val="none"/>
              </w:rPr>
              <w:t xml:space="preserve">□ </w:t>
            </w:r>
            <w:r>
              <w:rPr>
                <w:rFonts w:hint="eastAsia" w:ascii="宋体" w:hAnsi="宋体" w:cs="宋体"/>
                <w:szCs w:val="21"/>
                <w:highlight w:val="none"/>
              </w:rPr>
              <w:t>无</w:t>
            </w:r>
            <w:r>
              <w:rPr>
                <w:rFonts w:hint="eastAsia" w:ascii="宋体" w:hAnsi="宋体" w:cs="宋体"/>
                <w:bCs/>
                <w:color w:val="000000"/>
                <w:sz w:val="24"/>
                <w:highlight w:val="none"/>
              </w:rPr>
              <w:t>□</w:t>
            </w:r>
          </w:p>
        </w:tc>
      </w:tr>
      <w:tr w14:paraId="67D5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43324766">
            <w:pPr>
              <w:rPr>
                <w:rFonts w:ascii="Calibri" w:hAnsi="Calibri"/>
                <w:sz w:val="20"/>
                <w:szCs w:val="20"/>
                <w:highlight w:val="none"/>
              </w:rPr>
            </w:pPr>
          </w:p>
        </w:tc>
        <w:tc>
          <w:tcPr>
            <w:tcW w:w="3744" w:type="dxa"/>
            <w:gridSpan w:val="2"/>
            <w:noWrap/>
            <w:vAlign w:val="center"/>
          </w:tcPr>
          <w:p w14:paraId="70C430AC">
            <w:pPr>
              <w:widowControl/>
              <w:spacing w:line="360" w:lineRule="auto"/>
              <w:jc w:val="center"/>
              <w:rPr>
                <w:rFonts w:ascii="宋体" w:hAnsi="宋体"/>
                <w:kern w:val="0"/>
                <w:szCs w:val="21"/>
                <w:highlight w:val="none"/>
              </w:rPr>
            </w:pPr>
            <w:r>
              <w:rPr>
                <w:rFonts w:hint="eastAsia" w:ascii="宋体" w:hAnsi="宋体" w:cs="宋体"/>
                <w:kern w:val="0"/>
                <w:szCs w:val="21"/>
                <w:highlight w:val="none"/>
              </w:rPr>
              <w:t>提供不合规票据办理结算</w:t>
            </w:r>
          </w:p>
        </w:tc>
        <w:tc>
          <w:tcPr>
            <w:tcW w:w="2796" w:type="dxa"/>
            <w:noWrap/>
            <w:vAlign w:val="center"/>
          </w:tcPr>
          <w:p w14:paraId="7376196F">
            <w:pPr>
              <w:widowControl/>
              <w:jc w:val="center"/>
              <w:rPr>
                <w:rFonts w:ascii="宋体" w:hAnsi="宋体" w:cs="宋体"/>
                <w:kern w:val="0"/>
                <w:szCs w:val="21"/>
                <w:highlight w:val="none"/>
              </w:rPr>
            </w:pPr>
            <w:r>
              <w:rPr>
                <w:rFonts w:hint="eastAsia" w:ascii="宋体" w:hAnsi="宋体" w:cs="宋体"/>
                <w:kern w:val="0"/>
                <w:szCs w:val="21"/>
                <w:highlight w:val="none"/>
              </w:rPr>
              <w:t>出现此类事项，直接判定为</w:t>
            </w:r>
          </w:p>
          <w:p w14:paraId="5FCF09D8">
            <w:pPr>
              <w:widowControl/>
              <w:jc w:val="center"/>
              <w:rPr>
                <w:rFonts w:ascii="宋体" w:hAnsi="宋体"/>
                <w:kern w:val="0"/>
                <w:szCs w:val="21"/>
                <w:highlight w:val="none"/>
              </w:rPr>
            </w:pPr>
            <w:r>
              <w:rPr>
                <w:rFonts w:hint="eastAsia" w:ascii="宋体" w:hAnsi="宋体" w:cs="宋体"/>
                <w:kern w:val="0"/>
                <w:szCs w:val="21"/>
                <w:highlight w:val="none"/>
              </w:rPr>
              <w:t>不合格供应商</w:t>
            </w:r>
          </w:p>
        </w:tc>
        <w:tc>
          <w:tcPr>
            <w:tcW w:w="1907" w:type="dxa"/>
            <w:gridSpan w:val="2"/>
            <w:noWrap/>
            <w:vAlign w:val="center"/>
          </w:tcPr>
          <w:p w14:paraId="38739E13">
            <w:pPr>
              <w:widowControl/>
              <w:spacing w:line="360" w:lineRule="auto"/>
              <w:jc w:val="center"/>
              <w:rPr>
                <w:rFonts w:ascii="宋体" w:hAnsi="宋体"/>
                <w:szCs w:val="21"/>
                <w:highlight w:val="none"/>
              </w:rPr>
            </w:pPr>
            <w:r>
              <w:rPr>
                <w:rFonts w:hint="eastAsia" w:ascii="宋体" w:hAnsi="宋体" w:cs="宋体"/>
                <w:szCs w:val="21"/>
                <w:highlight w:val="none"/>
              </w:rPr>
              <w:t>有</w:t>
            </w:r>
            <w:r>
              <w:rPr>
                <w:rFonts w:hint="eastAsia" w:ascii="宋体" w:hAnsi="宋体" w:cs="宋体"/>
                <w:bCs/>
                <w:color w:val="000000"/>
                <w:sz w:val="24"/>
                <w:highlight w:val="none"/>
              </w:rPr>
              <w:t xml:space="preserve">□ </w:t>
            </w:r>
            <w:r>
              <w:rPr>
                <w:rFonts w:hint="eastAsia" w:ascii="宋体" w:hAnsi="宋体" w:cs="宋体"/>
                <w:szCs w:val="21"/>
                <w:highlight w:val="none"/>
              </w:rPr>
              <w:t>无</w:t>
            </w:r>
            <w:r>
              <w:rPr>
                <w:rFonts w:hint="eastAsia" w:ascii="宋体" w:hAnsi="宋体" w:cs="宋体"/>
                <w:bCs/>
                <w:color w:val="000000"/>
                <w:sz w:val="24"/>
                <w:highlight w:val="none"/>
              </w:rPr>
              <w:t>□</w:t>
            </w:r>
          </w:p>
        </w:tc>
      </w:tr>
      <w:tr w14:paraId="4C25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68F0CC01">
            <w:pPr>
              <w:rPr>
                <w:rFonts w:ascii="Calibri" w:hAnsi="Calibri"/>
                <w:sz w:val="20"/>
                <w:szCs w:val="20"/>
                <w:highlight w:val="none"/>
              </w:rPr>
            </w:pPr>
          </w:p>
        </w:tc>
        <w:tc>
          <w:tcPr>
            <w:tcW w:w="3744" w:type="dxa"/>
            <w:gridSpan w:val="2"/>
            <w:noWrap/>
            <w:vAlign w:val="center"/>
          </w:tcPr>
          <w:p w14:paraId="17425DF1">
            <w:pPr>
              <w:widowControl/>
              <w:jc w:val="center"/>
              <w:rPr>
                <w:rFonts w:ascii="宋体" w:hAnsi="宋体" w:cs="宋体"/>
                <w:kern w:val="0"/>
                <w:szCs w:val="21"/>
                <w:highlight w:val="none"/>
              </w:rPr>
            </w:pPr>
            <w:r>
              <w:rPr>
                <w:rFonts w:hint="eastAsia" w:ascii="宋体" w:hAnsi="宋体" w:cs="宋体"/>
                <w:kern w:val="0"/>
                <w:szCs w:val="21"/>
                <w:highlight w:val="none"/>
              </w:rPr>
              <w:t>一个自然年度内无正当理由累计发生质疑或投诉2次以上</w:t>
            </w:r>
          </w:p>
        </w:tc>
        <w:tc>
          <w:tcPr>
            <w:tcW w:w="2796" w:type="dxa"/>
            <w:noWrap/>
            <w:vAlign w:val="center"/>
          </w:tcPr>
          <w:p w14:paraId="5EAE7F2E">
            <w:pPr>
              <w:widowControl/>
              <w:jc w:val="center"/>
              <w:rPr>
                <w:rFonts w:ascii="宋体" w:hAnsi="宋体" w:cs="宋体"/>
                <w:kern w:val="0"/>
                <w:szCs w:val="21"/>
                <w:highlight w:val="none"/>
              </w:rPr>
            </w:pPr>
            <w:r>
              <w:rPr>
                <w:rFonts w:hint="eastAsia" w:ascii="宋体" w:hAnsi="宋体" w:cs="宋体"/>
                <w:kern w:val="0"/>
                <w:szCs w:val="21"/>
                <w:highlight w:val="none"/>
              </w:rPr>
              <w:t>出现此类事项，直接判定为</w:t>
            </w:r>
          </w:p>
          <w:p w14:paraId="1F98A3DD">
            <w:pPr>
              <w:widowControl/>
              <w:jc w:val="center"/>
              <w:rPr>
                <w:rFonts w:ascii="宋体" w:hAnsi="宋体" w:cs="宋体"/>
                <w:kern w:val="0"/>
                <w:szCs w:val="21"/>
                <w:highlight w:val="none"/>
              </w:rPr>
            </w:pPr>
            <w:r>
              <w:rPr>
                <w:rFonts w:hint="eastAsia" w:ascii="宋体" w:hAnsi="宋体" w:cs="宋体"/>
                <w:kern w:val="0"/>
                <w:szCs w:val="21"/>
                <w:highlight w:val="none"/>
              </w:rPr>
              <w:t>不合格供应商</w:t>
            </w:r>
          </w:p>
        </w:tc>
        <w:tc>
          <w:tcPr>
            <w:tcW w:w="1907" w:type="dxa"/>
            <w:gridSpan w:val="2"/>
            <w:noWrap/>
            <w:vAlign w:val="center"/>
          </w:tcPr>
          <w:p w14:paraId="59B724DB">
            <w:pPr>
              <w:widowControl/>
              <w:jc w:val="center"/>
              <w:rPr>
                <w:rFonts w:ascii="宋体" w:hAnsi="宋体" w:cs="宋体"/>
                <w:kern w:val="0"/>
                <w:szCs w:val="21"/>
                <w:highlight w:val="none"/>
              </w:rPr>
            </w:pPr>
            <w:r>
              <w:rPr>
                <w:rFonts w:hint="eastAsia" w:ascii="宋体" w:hAnsi="宋体" w:cs="宋体"/>
                <w:szCs w:val="21"/>
                <w:highlight w:val="none"/>
              </w:rPr>
              <w:t>有</w:t>
            </w:r>
            <w:r>
              <w:rPr>
                <w:rFonts w:hint="eastAsia" w:ascii="宋体" w:hAnsi="宋体" w:cs="宋体"/>
                <w:bCs/>
                <w:color w:val="000000"/>
                <w:sz w:val="24"/>
                <w:highlight w:val="none"/>
              </w:rPr>
              <w:t xml:space="preserve">□ </w:t>
            </w:r>
            <w:r>
              <w:rPr>
                <w:rFonts w:hint="eastAsia" w:ascii="宋体" w:hAnsi="宋体" w:cs="宋体"/>
                <w:szCs w:val="21"/>
                <w:highlight w:val="none"/>
              </w:rPr>
              <w:t>无</w:t>
            </w:r>
            <w:r>
              <w:rPr>
                <w:rFonts w:hint="eastAsia" w:ascii="宋体" w:hAnsi="宋体" w:cs="宋体"/>
                <w:bCs/>
                <w:color w:val="000000"/>
                <w:sz w:val="24"/>
                <w:highlight w:val="none"/>
              </w:rPr>
              <w:t>□</w:t>
            </w:r>
          </w:p>
        </w:tc>
      </w:tr>
      <w:tr w14:paraId="7263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025F6A72">
            <w:pPr>
              <w:rPr>
                <w:rFonts w:ascii="Calibri" w:hAnsi="Calibri"/>
                <w:sz w:val="20"/>
                <w:szCs w:val="20"/>
                <w:highlight w:val="none"/>
              </w:rPr>
            </w:pPr>
          </w:p>
        </w:tc>
        <w:tc>
          <w:tcPr>
            <w:tcW w:w="3744" w:type="dxa"/>
            <w:gridSpan w:val="2"/>
            <w:noWrap/>
            <w:vAlign w:val="center"/>
          </w:tcPr>
          <w:p w14:paraId="41273717">
            <w:pPr>
              <w:widowControl/>
              <w:jc w:val="center"/>
              <w:rPr>
                <w:rFonts w:ascii="宋体" w:hAnsi="宋体" w:cs="宋体"/>
                <w:kern w:val="0"/>
                <w:szCs w:val="21"/>
                <w:highlight w:val="none"/>
              </w:rPr>
            </w:pPr>
            <w:r>
              <w:rPr>
                <w:rFonts w:hint="eastAsia" w:ascii="宋体" w:hAnsi="宋体" w:cs="宋体"/>
                <w:kern w:val="0"/>
                <w:szCs w:val="21"/>
                <w:highlight w:val="none"/>
              </w:rPr>
              <w:t>工商登记、银行账户等信息发生变更未及时告知</w:t>
            </w:r>
          </w:p>
        </w:tc>
        <w:tc>
          <w:tcPr>
            <w:tcW w:w="2796" w:type="dxa"/>
            <w:noWrap/>
            <w:vAlign w:val="center"/>
          </w:tcPr>
          <w:p w14:paraId="7AD0EEEF">
            <w:pPr>
              <w:widowControl/>
              <w:jc w:val="center"/>
              <w:rPr>
                <w:rFonts w:ascii="宋体" w:hAnsi="宋体" w:cs="宋体"/>
                <w:kern w:val="0"/>
                <w:szCs w:val="21"/>
                <w:highlight w:val="none"/>
              </w:rPr>
            </w:pPr>
            <w:r>
              <w:rPr>
                <w:rFonts w:hint="eastAsia" w:ascii="宋体" w:hAnsi="宋体" w:cs="宋体"/>
                <w:kern w:val="0"/>
                <w:szCs w:val="21"/>
                <w:highlight w:val="none"/>
              </w:rPr>
              <w:t>出现此类事项，直接判定为</w:t>
            </w:r>
          </w:p>
          <w:p w14:paraId="6DDC3DFA">
            <w:pPr>
              <w:widowControl/>
              <w:jc w:val="center"/>
              <w:rPr>
                <w:rFonts w:ascii="宋体" w:hAnsi="宋体" w:cs="宋体"/>
                <w:kern w:val="0"/>
                <w:szCs w:val="21"/>
                <w:highlight w:val="none"/>
              </w:rPr>
            </w:pPr>
            <w:r>
              <w:rPr>
                <w:rFonts w:hint="eastAsia" w:ascii="宋体" w:hAnsi="宋体" w:cs="宋体"/>
                <w:kern w:val="0"/>
                <w:szCs w:val="21"/>
                <w:highlight w:val="none"/>
              </w:rPr>
              <w:t>不合格供应商</w:t>
            </w:r>
          </w:p>
        </w:tc>
        <w:tc>
          <w:tcPr>
            <w:tcW w:w="1907" w:type="dxa"/>
            <w:gridSpan w:val="2"/>
            <w:noWrap/>
            <w:vAlign w:val="center"/>
          </w:tcPr>
          <w:p w14:paraId="171DE05F">
            <w:pPr>
              <w:widowControl/>
              <w:jc w:val="center"/>
              <w:rPr>
                <w:rFonts w:ascii="宋体" w:hAnsi="宋体" w:cs="宋体"/>
                <w:kern w:val="0"/>
                <w:szCs w:val="21"/>
                <w:highlight w:val="none"/>
              </w:rPr>
            </w:pPr>
            <w:r>
              <w:rPr>
                <w:rFonts w:hint="eastAsia" w:ascii="宋体" w:hAnsi="宋体" w:cs="宋体"/>
                <w:szCs w:val="21"/>
                <w:highlight w:val="none"/>
              </w:rPr>
              <w:t>有</w:t>
            </w:r>
            <w:r>
              <w:rPr>
                <w:rFonts w:hint="eastAsia" w:ascii="宋体" w:hAnsi="宋体" w:cs="宋体"/>
                <w:bCs/>
                <w:color w:val="000000"/>
                <w:sz w:val="24"/>
                <w:highlight w:val="none"/>
              </w:rPr>
              <w:t xml:space="preserve">□ </w:t>
            </w:r>
            <w:r>
              <w:rPr>
                <w:rFonts w:hint="eastAsia" w:ascii="宋体" w:hAnsi="宋体" w:cs="宋体"/>
                <w:szCs w:val="21"/>
                <w:highlight w:val="none"/>
              </w:rPr>
              <w:t>无</w:t>
            </w:r>
            <w:r>
              <w:rPr>
                <w:rFonts w:hint="eastAsia" w:ascii="宋体" w:hAnsi="宋体" w:cs="宋体"/>
                <w:bCs/>
                <w:color w:val="000000"/>
                <w:sz w:val="24"/>
                <w:highlight w:val="none"/>
              </w:rPr>
              <w:t>□</w:t>
            </w:r>
          </w:p>
        </w:tc>
      </w:tr>
      <w:tr w14:paraId="439F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4876F1BB">
            <w:pPr>
              <w:rPr>
                <w:rFonts w:ascii="Calibri" w:hAnsi="Calibri"/>
                <w:sz w:val="20"/>
                <w:szCs w:val="20"/>
                <w:highlight w:val="none"/>
              </w:rPr>
            </w:pPr>
          </w:p>
        </w:tc>
        <w:tc>
          <w:tcPr>
            <w:tcW w:w="3744" w:type="dxa"/>
            <w:gridSpan w:val="2"/>
            <w:noWrap/>
            <w:vAlign w:val="center"/>
          </w:tcPr>
          <w:p w14:paraId="4E62D049">
            <w:pPr>
              <w:widowControl/>
              <w:jc w:val="center"/>
              <w:rPr>
                <w:rFonts w:ascii="宋体" w:hAnsi="宋体" w:cs="宋体"/>
                <w:kern w:val="0"/>
                <w:szCs w:val="21"/>
                <w:highlight w:val="none"/>
              </w:rPr>
            </w:pPr>
            <w:r>
              <w:rPr>
                <w:rFonts w:hint="eastAsia" w:ascii="宋体" w:hAnsi="宋体" w:cs="宋体"/>
                <w:kern w:val="0"/>
                <w:szCs w:val="21"/>
                <w:highlight w:val="none"/>
              </w:rPr>
              <w:t>无正当理由拒不签约或不履行合同</w:t>
            </w:r>
          </w:p>
        </w:tc>
        <w:tc>
          <w:tcPr>
            <w:tcW w:w="2796" w:type="dxa"/>
            <w:noWrap/>
            <w:vAlign w:val="center"/>
          </w:tcPr>
          <w:p w14:paraId="5965B700">
            <w:pPr>
              <w:widowControl/>
              <w:jc w:val="center"/>
              <w:rPr>
                <w:rFonts w:ascii="宋体" w:hAnsi="宋体" w:cs="宋体"/>
                <w:kern w:val="0"/>
                <w:szCs w:val="21"/>
                <w:highlight w:val="none"/>
              </w:rPr>
            </w:pPr>
            <w:r>
              <w:rPr>
                <w:rFonts w:hint="eastAsia" w:ascii="宋体" w:hAnsi="宋体" w:cs="宋体"/>
                <w:kern w:val="0"/>
                <w:szCs w:val="21"/>
                <w:highlight w:val="none"/>
              </w:rPr>
              <w:t>出现此类事项，直接判定为</w:t>
            </w:r>
          </w:p>
          <w:p w14:paraId="41085BB0">
            <w:pPr>
              <w:widowControl/>
              <w:jc w:val="center"/>
              <w:rPr>
                <w:rFonts w:ascii="宋体" w:hAnsi="宋体" w:cs="宋体"/>
                <w:kern w:val="0"/>
                <w:szCs w:val="21"/>
                <w:highlight w:val="none"/>
              </w:rPr>
            </w:pPr>
            <w:r>
              <w:rPr>
                <w:rFonts w:hint="eastAsia" w:ascii="宋体" w:hAnsi="宋体" w:cs="宋体"/>
                <w:kern w:val="0"/>
                <w:szCs w:val="21"/>
                <w:highlight w:val="none"/>
              </w:rPr>
              <w:t>不合格供应商</w:t>
            </w:r>
          </w:p>
        </w:tc>
        <w:tc>
          <w:tcPr>
            <w:tcW w:w="1907" w:type="dxa"/>
            <w:gridSpan w:val="2"/>
            <w:noWrap/>
            <w:vAlign w:val="center"/>
          </w:tcPr>
          <w:p w14:paraId="6B3ABACF">
            <w:pPr>
              <w:widowControl/>
              <w:jc w:val="center"/>
              <w:rPr>
                <w:rFonts w:ascii="宋体" w:hAnsi="宋体" w:cs="宋体"/>
                <w:kern w:val="0"/>
                <w:szCs w:val="21"/>
                <w:highlight w:val="none"/>
              </w:rPr>
            </w:pPr>
            <w:r>
              <w:rPr>
                <w:rFonts w:hint="eastAsia" w:ascii="宋体" w:hAnsi="宋体" w:cs="宋体"/>
                <w:szCs w:val="21"/>
                <w:highlight w:val="none"/>
              </w:rPr>
              <w:t>有</w:t>
            </w:r>
            <w:r>
              <w:rPr>
                <w:rFonts w:hint="eastAsia" w:ascii="宋体" w:hAnsi="宋体" w:cs="宋体"/>
                <w:bCs/>
                <w:color w:val="000000"/>
                <w:sz w:val="24"/>
                <w:highlight w:val="none"/>
              </w:rPr>
              <w:t xml:space="preserve">□ </w:t>
            </w:r>
            <w:r>
              <w:rPr>
                <w:rFonts w:hint="eastAsia" w:ascii="宋体" w:hAnsi="宋体" w:cs="宋体"/>
                <w:szCs w:val="21"/>
                <w:highlight w:val="none"/>
              </w:rPr>
              <w:t>无</w:t>
            </w:r>
            <w:r>
              <w:rPr>
                <w:rFonts w:hint="eastAsia" w:ascii="宋体" w:hAnsi="宋体" w:cs="宋体"/>
                <w:bCs/>
                <w:color w:val="000000"/>
                <w:sz w:val="24"/>
                <w:highlight w:val="none"/>
              </w:rPr>
              <w:t>□</w:t>
            </w:r>
          </w:p>
        </w:tc>
      </w:tr>
      <w:tr w14:paraId="7769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116A60A2">
            <w:pPr>
              <w:rPr>
                <w:rFonts w:ascii="Calibri" w:hAnsi="Calibri"/>
                <w:sz w:val="20"/>
                <w:szCs w:val="20"/>
                <w:highlight w:val="none"/>
              </w:rPr>
            </w:pPr>
          </w:p>
        </w:tc>
        <w:tc>
          <w:tcPr>
            <w:tcW w:w="3744" w:type="dxa"/>
            <w:gridSpan w:val="2"/>
            <w:noWrap/>
            <w:vAlign w:val="center"/>
          </w:tcPr>
          <w:p w14:paraId="1993A52D">
            <w:pPr>
              <w:widowControl/>
              <w:jc w:val="center"/>
              <w:rPr>
                <w:rFonts w:ascii="宋体" w:hAnsi="宋体" w:cs="宋体"/>
                <w:kern w:val="0"/>
                <w:szCs w:val="21"/>
                <w:highlight w:val="none"/>
              </w:rPr>
            </w:pPr>
            <w:r>
              <w:rPr>
                <w:rFonts w:hint="eastAsia" w:ascii="宋体" w:hAnsi="宋体" w:cs="宋体"/>
                <w:kern w:val="0"/>
                <w:szCs w:val="21"/>
                <w:highlight w:val="none"/>
              </w:rPr>
              <w:t>擅自变更或终止采购合同</w:t>
            </w:r>
          </w:p>
        </w:tc>
        <w:tc>
          <w:tcPr>
            <w:tcW w:w="2796" w:type="dxa"/>
            <w:noWrap/>
            <w:vAlign w:val="center"/>
          </w:tcPr>
          <w:p w14:paraId="780F03D9">
            <w:pPr>
              <w:widowControl/>
              <w:jc w:val="center"/>
              <w:rPr>
                <w:rFonts w:ascii="宋体" w:hAnsi="宋体" w:cs="宋体"/>
                <w:kern w:val="0"/>
                <w:szCs w:val="21"/>
                <w:highlight w:val="none"/>
              </w:rPr>
            </w:pPr>
            <w:r>
              <w:rPr>
                <w:rFonts w:hint="eastAsia" w:ascii="宋体" w:hAnsi="宋体" w:cs="宋体"/>
                <w:kern w:val="0"/>
                <w:szCs w:val="21"/>
                <w:highlight w:val="none"/>
              </w:rPr>
              <w:t>出现此类事项，直接判定为</w:t>
            </w:r>
          </w:p>
          <w:p w14:paraId="7D948FBE">
            <w:pPr>
              <w:widowControl/>
              <w:jc w:val="center"/>
              <w:rPr>
                <w:rFonts w:ascii="宋体" w:hAnsi="宋体" w:cs="宋体"/>
                <w:kern w:val="0"/>
                <w:szCs w:val="21"/>
                <w:highlight w:val="none"/>
              </w:rPr>
            </w:pPr>
            <w:r>
              <w:rPr>
                <w:rFonts w:hint="eastAsia" w:ascii="宋体" w:hAnsi="宋体" w:cs="宋体"/>
                <w:kern w:val="0"/>
                <w:szCs w:val="21"/>
                <w:highlight w:val="none"/>
              </w:rPr>
              <w:t>不合格供应商</w:t>
            </w:r>
          </w:p>
        </w:tc>
        <w:tc>
          <w:tcPr>
            <w:tcW w:w="1907" w:type="dxa"/>
            <w:gridSpan w:val="2"/>
            <w:noWrap/>
            <w:vAlign w:val="center"/>
          </w:tcPr>
          <w:p w14:paraId="6DD3E557">
            <w:pPr>
              <w:widowControl/>
              <w:jc w:val="center"/>
              <w:rPr>
                <w:rFonts w:ascii="宋体" w:hAnsi="宋体" w:cs="宋体"/>
                <w:kern w:val="0"/>
                <w:szCs w:val="21"/>
                <w:highlight w:val="none"/>
              </w:rPr>
            </w:pPr>
            <w:r>
              <w:rPr>
                <w:rFonts w:hint="eastAsia" w:ascii="宋体" w:hAnsi="宋体" w:cs="宋体"/>
                <w:szCs w:val="21"/>
                <w:highlight w:val="none"/>
              </w:rPr>
              <w:t>有</w:t>
            </w:r>
            <w:r>
              <w:rPr>
                <w:rFonts w:hint="eastAsia" w:ascii="宋体" w:hAnsi="宋体" w:cs="宋体"/>
                <w:bCs/>
                <w:color w:val="000000"/>
                <w:sz w:val="24"/>
                <w:highlight w:val="none"/>
              </w:rPr>
              <w:t xml:space="preserve">□ </w:t>
            </w:r>
            <w:r>
              <w:rPr>
                <w:rFonts w:hint="eastAsia" w:ascii="宋体" w:hAnsi="宋体" w:cs="宋体"/>
                <w:szCs w:val="21"/>
                <w:highlight w:val="none"/>
              </w:rPr>
              <w:t>无</w:t>
            </w:r>
            <w:r>
              <w:rPr>
                <w:rFonts w:hint="eastAsia" w:ascii="宋体" w:hAnsi="宋体" w:cs="宋体"/>
                <w:bCs/>
                <w:color w:val="000000"/>
                <w:sz w:val="24"/>
                <w:highlight w:val="none"/>
              </w:rPr>
              <w:t>□</w:t>
            </w:r>
          </w:p>
        </w:tc>
      </w:tr>
      <w:tr w14:paraId="634C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10E7D8ED">
            <w:pPr>
              <w:rPr>
                <w:rFonts w:ascii="Calibri" w:hAnsi="Calibri"/>
                <w:sz w:val="20"/>
                <w:szCs w:val="20"/>
                <w:highlight w:val="none"/>
              </w:rPr>
            </w:pPr>
          </w:p>
        </w:tc>
        <w:tc>
          <w:tcPr>
            <w:tcW w:w="3744" w:type="dxa"/>
            <w:gridSpan w:val="2"/>
            <w:noWrap/>
            <w:vAlign w:val="center"/>
          </w:tcPr>
          <w:p w14:paraId="39B37DF8">
            <w:pPr>
              <w:widowControl/>
              <w:jc w:val="center"/>
              <w:rPr>
                <w:rFonts w:ascii="Calibri" w:hAnsi="Calibri"/>
                <w:highlight w:val="none"/>
              </w:rPr>
            </w:pPr>
            <w:r>
              <w:rPr>
                <w:rFonts w:hint="eastAsia" w:ascii="Calibri" w:hAnsi="Calibri"/>
                <w:highlight w:val="none"/>
              </w:rPr>
              <w:t>在验收时提供虚假技术证明文书</w:t>
            </w:r>
          </w:p>
        </w:tc>
        <w:tc>
          <w:tcPr>
            <w:tcW w:w="2796" w:type="dxa"/>
            <w:noWrap/>
            <w:vAlign w:val="center"/>
          </w:tcPr>
          <w:p w14:paraId="32364F54">
            <w:pPr>
              <w:widowControl/>
              <w:jc w:val="center"/>
              <w:rPr>
                <w:rFonts w:ascii="宋体" w:hAnsi="宋体" w:cs="宋体"/>
                <w:kern w:val="0"/>
                <w:szCs w:val="21"/>
                <w:highlight w:val="none"/>
              </w:rPr>
            </w:pPr>
            <w:r>
              <w:rPr>
                <w:rFonts w:hint="eastAsia" w:ascii="宋体" w:hAnsi="宋体" w:cs="宋体"/>
                <w:kern w:val="0"/>
                <w:szCs w:val="21"/>
                <w:highlight w:val="none"/>
              </w:rPr>
              <w:t>出现此类事项，直接判定为</w:t>
            </w:r>
          </w:p>
          <w:p w14:paraId="478B0FEC">
            <w:pPr>
              <w:widowControl/>
              <w:jc w:val="center"/>
              <w:rPr>
                <w:rFonts w:ascii="宋体" w:hAnsi="宋体" w:cs="宋体"/>
                <w:kern w:val="0"/>
                <w:szCs w:val="21"/>
                <w:highlight w:val="none"/>
              </w:rPr>
            </w:pPr>
            <w:r>
              <w:rPr>
                <w:rFonts w:hint="eastAsia" w:ascii="宋体" w:hAnsi="宋体" w:cs="宋体"/>
                <w:kern w:val="0"/>
                <w:szCs w:val="21"/>
                <w:highlight w:val="none"/>
              </w:rPr>
              <w:t>不合格供应商</w:t>
            </w:r>
          </w:p>
        </w:tc>
        <w:tc>
          <w:tcPr>
            <w:tcW w:w="1907" w:type="dxa"/>
            <w:gridSpan w:val="2"/>
            <w:noWrap/>
            <w:vAlign w:val="center"/>
          </w:tcPr>
          <w:p w14:paraId="79A8F864">
            <w:pPr>
              <w:widowControl/>
              <w:jc w:val="center"/>
              <w:rPr>
                <w:rFonts w:ascii="宋体" w:hAnsi="宋体" w:cs="宋体"/>
                <w:kern w:val="0"/>
                <w:szCs w:val="21"/>
                <w:highlight w:val="none"/>
              </w:rPr>
            </w:pPr>
            <w:r>
              <w:rPr>
                <w:rFonts w:hint="eastAsia" w:ascii="宋体" w:hAnsi="宋体" w:cs="宋体"/>
                <w:szCs w:val="21"/>
                <w:highlight w:val="none"/>
              </w:rPr>
              <w:t>有</w:t>
            </w:r>
            <w:r>
              <w:rPr>
                <w:rFonts w:hint="eastAsia" w:ascii="宋体" w:hAnsi="宋体" w:cs="宋体"/>
                <w:bCs/>
                <w:color w:val="000000"/>
                <w:sz w:val="24"/>
                <w:highlight w:val="none"/>
              </w:rPr>
              <w:t xml:space="preserve">□ </w:t>
            </w:r>
            <w:r>
              <w:rPr>
                <w:rFonts w:hint="eastAsia" w:ascii="宋体" w:hAnsi="宋体" w:cs="宋体"/>
                <w:szCs w:val="21"/>
                <w:highlight w:val="none"/>
              </w:rPr>
              <w:t>无</w:t>
            </w:r>
            <w:r>
              <w:rPr>
                <w:rFonts w:hint="eastAsia" w:ascii="宋体" w:hAnsi="宋体" w:cs="宋体"/>
                <w:bCs/>
                <w:color w:val="000000"/>
                <w:sz w:val="24"/>
                <w:highlight w:val="none"/>
              </w:rPr>
              <w:t>□</w:t>
            </w:r>
          </w:p>
        </w:tc>
      </w:tr>
      <w:tr w14:paraId="3278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64849F77">
            <w:pPr>
              <w:rPr>
                <w:rFonts w:ascii="Calibri" w:hAnsi="Calibri"/>
                <w:sz w:val="20"/>
                <w:szCs w:val="20"/>
                <w:highlight w:val="none"/>
              </w:rPr>
            </w:pPr>
          </w:p>
        </w:tc>
        <w:tc>
          <w:tcPr>
            <w:tcW w:w="3744" w:type="dxa"/>
            <w:gridSpan w:val="2"/>
            <w:noWrap/>
            <w:vAlign w:val="center"/>
          </w:tcPr>
          <w:p w14:paraId="35CAC8D3">
            <w:pPr>
              <w:widowControl/>
              <w:jc w:val="center"/>
              <w:rPr>
                <w:rFonts w:ascii="宋体" w:hAnsi="宋体" w:cs="宋体"/>
                <w:kern w:val="0"/>
                <w:szCs w:val="21"/>
                <w:highlight w:val="none"/>
              </w:rPr>
            </w:pPr>
            <w:r>
              <w:rPr>
                <w:rFonts w:hint="eastAsia" w:ascii="宋体" w:hAnsi="宋体" w:cs="宋体"/>
                <w:kern w:val="0"/>
                <w:szCs w:val="21"/>
                <w:highlight w:val="none"/>
              </w:rPr>
              <w:t>拒绝采购人有关部门进行监督检查或提供虚假情况</w:t>
            </w:r>
          </w:p>
        </w:tc>
        <w:tc>
          <w:tcPr>
            <w:tcW w:w="2796" w:type="dxa"/>
            <w:noWrap/>
            <w:vAlign w:val="center"/>
          </w:tcPr>
          <w:p w14:paraId="396C9D4D">
            <w:pPr>
              <w:widowControl/>
              <w:jc w:val="center"/>
              <w:rPr>
                <w:rFonts w:ascii="宋体" w:hAnsi="宋体" w:cs="宋体"/>
                <w:kern w:val="0"/>
                <w:szCs w:val="21"/>
                <w:highlight w:val="none"/>
              </w:rPr>
            </w:pPr>
            <w:r>
              <w:rPr>
                <w:rFonts w:hint="eastAsia" w:ascii="宋体" w:hAnsi="宋体" w:cs="宋体"/>
                <w:kern w:val="0"/>
                <w:szCs w:val="21"/>
                <w:highlight w:val="none"/>
              </w:rPr>
              <w:t>出现此类事项，直接判定为</w:t>
            </w:r>
          </w:p>
          <w:p w14:paraId="1FB01CEA">
            <w:pPr>
              <w:widowControl/>
              <w:jc w:val="center"/>
              <w:rPr>
                <w:rFonts w:ascii="宋体" w:hAnsi="宋体" w:cs="宋体"/>
                <w:kern w:val="0"/>
                <w:szCs w:val="21"/>
                <w:highlight w:val="none"/>
              </w:rPr>
            </w:pPr>
            <w:r>
              <w:rPr>
                <w:rFonts w:hint="eastAsia" w:ascii="宋体" w:hAnsi="宋体" w:cs="宋体"/>
                <w:kern w:val="0"/>
                <w:szCs w:val="21"/>
                <w:highlight w:val="none"/>
              </w:rPr>
              <w:t>不合格供应商</w:t>
            </w:r>
          </w:p>
        </w:tc>
        <w:tc>
          <w:tcPr>
            <w:tcW w:w="1907" w:type="dxa"/>
            <w:gridSpan w:val="2"/>
            <w:noWrap/>
            <w:vAlign w:val="center"/>
          </w:tcPr>
          <w:p w14:paraId="1FA50236">
            <w:pPr>
              <w:widowControl/>
              <w:jc w:val="center"/>
              <w:rPr>
                <w:rFonts w:ascii="宋体" w:hAnsi="宋体" w:cs="宋体"/>
                <w:kern w:val="0"/>
                <w:szCs w:val="21"/>
                <w:highlight w:val="none"/>
              </w:rPr>
            </w:pPr>
            <w:r>
              <w:rPr>
                <w:rFonts w:hint="eastAsia" w:ascii="宋体" w:hAnsi="宋体" w:cs="宋体"/>
                <w:szCs w:val="21"/>
                <w:highlight w:val="none"/>
              </w:rPr>
              <w:t>有</w:t>
            </w:r>
            <w:r>
              <w:rPr>
                <w:rFonts w:hint="eastAsia" w:ascii="宋体" w:hAnsi="宋体" w:cs="宋体"/>
                <w:bCs/>
                <w:color w:val="000000"/>
                <w:sz w:val="24"/>
                <w:highlight w:val="none"/>
              </w:rPr>
              <w:t xml:space="preserve">□ </w:t>
            </w:r>
            <w:r>
              <w:rPr>
                <w:rFonts w:hint="eastAsia" w:ascii="宋体" w:hAnsi="宋体" w:cs="宋体"/>
                <w:szCs w:val="21"/>
                <w:highlight w:val="none"/>
              </w:rPr>
              <w:t>无</w:t>
            </w:r>
            <w:r>
              <w:rPr>
                <w:rFonts w:hint="eastAsia" w:ascii="宋体" w:hAnsi="宋体" w:cs="宋体"/>
                <w:bCs/>
                <w:color w:val="000000"/>
                <w:sz w:val="24"/>
                <w:highlight w:val="none"/>
              </w:rPr>
              <w:t>□</w:t>
            </w:r>
          </w:p>
        </w:tc>
      </w:tr>
      <w:tr w14:paraId="4237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3EBB6EB2">
            <w:pPr>
              <w:rPr>
                <w:rFonts w:ascii="Calibri" w:hAnsi="Calibri"/>
                <w:sz w:val="20"/>
                <w:szCs w:val="20"/>
                <w:highlight w:val="none"/>
              </w:rPr>
            </w:pPr>
          </w:p>
        </w:tc>
        <w:tc>
          <w:tcPr>
            <w:tcW w:w="3744" w:type="dxa"/>
            <w:gridSpan w:val="2"/>
            <w:noWrap/>
            <w:vAlign w:val="center"/>
          </w:tcPr>
          <w:p w14:paraId="7910E294">
            <w:pPr>
              <w:widowControl/>
              <w:jc w:val="center"/>
              <w:rPr>
                <w:rFonts w:ascii="宋体" w:hAnsi="宋体" w:cs="宋体"/>
                <w:kern w:val="0"/>
                <w:szCs w:val="21"/>
                <w:highlight w:val="none"/>
              </w:rPr>
            </w:pPr>
            <w:r>
              <w:rPr>
                <w:rFonts w:hint="eastAsia" w:ascii="宋体" w:hAnsi="宋体" w:cs="宋体"/>
                <w:kern w:val="0"/>
                <w:szCs w:val="21"/>
                <w:highlight w:val="none"/>
              </w:rPr>
              <w:t>因供应商原因发生质量、安全事故</w:t>
            </w:r>
          </w:p>
        </w:tc>
        <w:tc>
          <w:tcPr>
            <w:tcW w:w="2796" w:type="dxa"/>
            <w:noWrap/>
            <w:vAlign w:val="center"/>
          </w:tcPr>
          <w:p w14:paraId="3284920E">
            <w:pPr>
              <w:widowControl/>
              <w:jc w:val="center"/>
              <w:rPr>
                <w:rFonts w:ascii="宋体" w:hAnsi="宋体" w:cs="宋体"/>
                <w:kern w:val="0"/>
                <w:szCs w:val="21"/>
                <w:highlight w:val="none"/>
              </w:rPr>
            </w:pPr>
            <w:r>
              <w:rPr>
                <w:rFonts w:hint="eastAsia" w:ascii="宋体" w:hAnsi="宋体" w:cs="宋体"/>
                <w:kern w:val="0"/>
                <w:szCs w:val="21"/>
                <w:highlight w:val="none"/>
              </w:rPr>
              <w:t>出现此类事项，直接判定为</w:t>
            </w:r>
          </w:p>
          <w:p w14:paraId="4DB736F6">
            <w:pPr>
              <w:widowControl/>
              <w:jc w:val="center"/>
              <w:rPr>
                <w:rFonts w:ascii="宋体" w:hAnsi="宋体" w:cs="宋体"/>
                <w:kern w:val="0"/>
                <w:szCs w:val="21"/>
                <w:highlight w:val="none"/>
              </w:rPr>
            </w:pPr>
            <w:r>
              <w:rPr>
                <w:rFonts w:hint="eastAsia" w:ascii="宋体" w:hAnsi="宋体" w:cs="宋体"/>
                <w:kern w:val="0"/>
                <w:szCs w:val="21"/>
                <w:highlight w:val="none"/>
              </w:rPr>
              <w:t>不合格供应商</w:t>
            </w:r>
          </w:p>
        </w:tc>
        <w:tc>
          <w:tcPr>
            <w:tcW w:w="1907" w:type="dxa"/>
            <w:gridSpan w:val="2"/>
            <w:noWrap/>
            <w:vAlign w:val="center"/>
          </w:tcPr>
          <w:p w14:paraId="79084320">
            <w:pPr>
              <w:widowControl/>
              <w:jc w:val="center"/>
              <w:rPr>
                <w:rFonts w:ascii="宋体" w:hAnsi="宋体" w:cs="宋体"/>
                <w:szCs w:val="21"/>
                <w:highlight w:val="none"/>
              </w:rPr>
            </w:pPr>
            <w:r>
              <w:rPr>
                <w:rFonts w:hint="eastAsia" w:ascii="宋体" w:hAnsi="宋体" w:cs="宋体"/>
                <w:szCs w:val="21"/>
                <w:highlight w:val="none"/>
              </w:rPr>
              <w:t>有□ 无□</w:t>
            </w:r>
          </w:p>
        </w:tc>
      </w:tr>
      <w:tr w14:paraId="64C3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0925A08C">
            <w:pPr>
              <w:rPr>
                <w:rFonts w:ascii="Calibri" w:hAnsi="Calibri"/>
                <w:sz w:val="20"/>
                <w:szCs w:val="20"/>
                <w:highlight w:val="none"/>
              </w:rPr>
            </w:pPr>
          </w:p>
        </w:tc>
        <w:tc>
          <w:tcPr>
            <w:tcW w:w="3744" w:type="dxa"/>
            <w:gridSpan w:val="2"/>
            <w:noWrap/>
            <w:vAlign w:val="center"/>
          </w:tcPr>
          <w:p w14:paraId="3A57CB76">
            <w:pPr>
              <w:widowControl/>
              <w:jc w:val="center"/>
              <w:rPr>
                <w:rFonts w:ascii="宋体" w:hAnsi="宋体" w:cs="宋体"/>
                <w:kern w:val="0"/>
                <w:szCs w:val="21"/>
                <w:highlight w:val="none"/>
              </w:rPr>
            </w:pPr>
            <w:r>
              <w:rPr>
                <w:rFonts w:hint="eastAsia" w:ascii="宋体" w:hAnsi="宋体" w:cs="宋体"/>
                <w:kern w:val="0"/>
                <w:szCs w:val="21"/>
                <w:highlight w:val="none"/>
              </w:rPr>
              <w:t>违法违规行为（恶意串通或弄虚作假等）</w:t>
            </w:r>
          </w:p>
        </w:tc>
        <w:tc>
          <w:tcPr>
            <w:tcW w:w="2796" w:type="dxa"/>
            <w:noWrap/>
            <w:vAlign w:val="center"/>
          </w:tcPr>
          <w:p w14:paraId="332FF203">
            <w:pPr>
              <w:widowControl/>
              <w:jc w:val="center"/>
              <w:rPr>
                <w:rFonts w:ascii="宋体" w:hAnsi="宋体" w:cs="宋体"/>
                <w:kern w:val="0"/>
                <w:szCs w:val="21"/>
                <w:highlight w:val="none"/>
              </w:rPr>
            </w:pPr>
            <w:r>
              <w:rPr>
                <w:rFonts w:hint="eastAsia" w:ascii="宋体" w:hAnsi="宋体" w:cs="宋体"/>
                <w:kern w:val="0"/>
                <w:szCs w:val="21"/>
                <w:highlight w:val="none"/>
              </w:rPr>
              <w:t>出现此类事项，直接判定为</w:t>
            </w:r>
          </w:p>
          <w:p w14:paraId="3DC06DF7">
            <w:pPr>
              <w:widowControl/>
              <w:jc w:val="center"/>
              <w:rPr>
                <w:rFonts w:ascii="宋体" w:hAnsi="宋体" w:cs="宋体"/>
                <w:kern w:val="0"/>
                <w:szCs w:val="21"/>
                <w:highlight w:val="none"/>
              </w:rPr>
            </w:pPr>
            <w:r>
              <w:rPr>
                <w:rFonts w:hint="eastAsia" w:ascii="宋体" w:hAnsi="宋体" w:cs="宋体"/>
                <w:kern w:val="0"/>
                <w:szCs w:val="21"/>
                <w:highlight w:val="none"/>
              </w:rPr>
              <w:t>不合格供应商</w:t>
            </w:r>
          </w:p>
        </w:tc>
        <w:tc>
          <w:tcPr>
            <w:tcW w:w="1907" w:type="dxa"/>
            <w:gridSpan w:val="2"/>
            <w:noWrap/>
            <w:vAlign w:val="center"/>
          </w:tcPr>
          <w:p w14:paraId="345B36AA">
            <w:pPr>
              <w:widowControl/>
              <w:jc w:val="center"/>
              <w:rPr>
                <w:rFonts w:ascii="宋体" w:hAnsi="宋体" w:cs="宋体"/>
                <w:kern w:val="0"/>
                <w:szCs w:val="21"/>
                <w:highlight w:val="none"/>
              </w:rPr>
            </w:pPr>
            <w:r>
              <w:rPr>
                <w:rFonts w:hint="eastAsia" w:ascii="宋体" w:hAnsi="宋体" w:cs="宋体"/>
                <w:szCs w:val="21"/>
                <w:highlight w:val="none"/>
              </w:rPr>
              <w:t>有</w:t>
            </w:r>
            <w:r>
              <w:rPr>
                <w:rFonts w:hint="eastAsia" w:ascii="宋体" w:hAnsi="宋体" w:cs="宋体"/>
                <w:bCs/>
                <w:color w:val="000000"/>
                <w:sz w:val="24"/>
                <w:highlight w:val="none"/>
              </w:rPr>
              <w:t xml:space="preserve">□ </w:t>
            </w:r>
            <w:r>
              <w:rPr>
                <w:rFonts w:hint="eastAsia" w:ascii="宋体" w:hAnsi="宋体" w:cs="宋体"/>
                <w:szCs w:val="21"/>
                <w:highlight w:val="none"/>
              </w:rPr>
              <w:t>无</w:t>
            </w:r>
            <w:r>
              <w:rPr>
                <w:rFonts w:hint="eastAsia" w:ascii="宋体" w:hAnsi="宋体" w:cs="宋体"/>
                <w:bCs/>
                <w:color w:val="000000"/>
                <w:sz w:val="24"/>
                <w:highlight w:val="none"/>
              </w:rPr>
              <w:t>□</w:t>
            </w:r>
          </w:p>
        </w:tc>
      </w:tr>
      <w:tr w14:paraId="516B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5CF5D595">
            <w:pPr>
              <w:rPr>
                <w:rFonts w:ascii="Calibri" w:hAnsi="Calibri"/>
                <w:sz w:val="20"/>
                <w:szCs w:val="20"/>
                <w:highlight w:val="none"/>
              </w:rPr>
            </w:pPr>
          </w:p>
        </w:tc>
        <w:tc>
          <w:tcPr>
            <w:tcW w:w="3744" w:type="dxa"/>
            <w:gridSpan w:val="2"/>
            <w:noWrap/>
            <w:vAlign w:val="center"/>
          </w:tcPr>
          <w:p w14:paraId="23280DDC">
            <w:pPr>
              <w:widowControl/>
              <w:jc w:val="center"/>
              <w:rPr>
                <w:rFonts w:ascii="宋体" w:hAnsi="宋体" w:cs="宋体"/>
                <w:kern w:val="0"/>
                <w:szCs w:val="21"/>
                <w:highlight w:val="none"/>
              </w:rPr>
            </w:pPr>
            <w:r>
              <w:rPr>
                <w:rFonts w:hint="eastAsia" w:ascii="宋体" w:hAnsi="宋体" w:cs="宋体"/>
                <w:kern w:val="0"/>
                <w:szCs w:val="21"/>
                <w:highlight w:val="none"/>
              </w:rPr>
              <w:t>行贿受贿行为（以中国裁判文书网查询结果为准）</w:t>
            </w:r>
          </w:p>
        </w:tc>
        <w:tc>
          <w:tcPr>
            <w:tcW w:w="2796" w:type="dxa"/>
            <w:noWrap/>
            <w:vAlign w:val="center"/>
          </w:tcPr>
          <w:p w14:paraId="260FDA85">
            <w:pPr>
              <w:widowControl/>
              <w:jc w:val="center"/>
              <w:rPr>
                <w:rFonts w:ascii="宋体" w:hAnsi="宋体" w:cs="宋体"/>
                <w:kern w:val="0"/>
                <w:szCs w:val="21"/>
                <w:highlight w:val="none"/>
              </w:rPr>
            </w:pPr>
            <w:r>
              <w:rPr>
                <w:rFonts w:hint="eastAsia" w:ascii="宋体" w:hAnsi="宋体" w:cs="宋体"/>
                <w:kern w:val="0"/>
                <w:szCs w:val="21"/>
                <w:highlight w:val="none"/>
              </w:rPr>
              <w:t>出现此类事项，直接判定为</w:t>
            </w:r>
          </w:p>
          <w:p w14:paraId="69BCB33E">
            <w:pPr>
              <w:widowControl/>
              <w:jc w:val="center"/>
              <w:rPr>
                <w:rFonts w:ascii="宋体" w:hAnsi="宋体" w:cs="宋体"/>
                <w:kern w:val="0"/>
                <w:szCs w:val="21"/>
                <w:highlight w:val="none"/>
              </w:rPr>
            </w:pPr>
            <w:r>
              <w:rPr>
                <w:rFonts w:hint="eastAsia" w:ascii="宋体" w:hAnsi="宋体" w:cs="宋体"/>
                <w:kern w:val="0"/>
                <w:szCs w:val="21"/>
                <w:highlight w:val="none"/>
              </w:rPr>
              <w:t>不合格供应商</w:t>
            </w:r>
          </w:p>
        </w:tc>
        <w:tc>
          <w:tcPr>
            <w:tcW w:w="1907" w:type="dxa"/>
            <w:gridSpan w:val="2"/>
            <w:noWrap/>
            <w:vAlign w:val="center"/>
          </w:tcPr>
          <w:p w14:paraId="460B06BC">
            <w:pPr>
              <w:widowControl/>
              <w:jc w:val="center"/>
              <w:rPr>
                <w:rFonts w:ascii="宋体" w:hAnsi="宋体" w:cs="宋体"/>
                <w:szCs w:val="21"/>
                <w:highlight w:val="none"/>
              </w:rPr>
            </w:pPr>
            <w:r>
              <w:rPr>
                <w:rFonts w:hint="eastAsia" w:ascii="宋体" w:hAnsi="宋体" w:cs="宋体"/>
                <w:szCs w:val="21"/>
                <w:highlight w:val="none"/>
              </w:rPr>
              <w:t>有□ 无□</w:t>
            </w:r>
          </w:p>
        </w:tc>
      </w:tr>
      <w:tr w14:paraId="3A83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305ABA2F">
            <w:pPr>
              <w:rPr>
                <w:rFonts w:ascii="Calibri" w:hAnsi="Calibri"/>
                <w:sz w:val="20"/>
                <w:szCs w:val="20"/>
                <w:highlight w:val="none"/>
              </w:rPr>
            </w:pPr>
          </w:p>
        </w:tc>
        <w:tc>
          <w:tcPr>
            <w:tcW w:w="3744" w:type="dxa"/>
            <w:gridSpan w:val="2"/>
            <w:noWrap/>
            <w:vAlign w:val="center"/>
          </w:tcPr>
          <w:p w14:paraId="7E1279BE">
            <w:pPr>
              <w:widowControl/>
              <w:jc w:val="center"/>
              <w:rPr>
                <w:rFonts w:ascii="宋体" w:hAnsi="宋体" w:cs="宋体"/>
                <w:kern w:val="0"/>
                <w:szCs w:val="21"/>
                <w:highlight w:val="none"/>
              </w:rPr>
            </w:pPr>
            <w:r>
              <w:rPr>
                <w:rFonts w:hint="eastAsia" w:ascii="宋体" w:hAnsi="宋体" w:cs="宋体"/>
                <w:kern w:val="0"/>
                <w:szCs w:val="21"/>
                <w:highlight w:val="none"/>
              </w:rPr>
              <w:t>采用不正当手段维护权益、违约或其他不良行为，给企业造成经济损失、影响正常经营秩序或造成不良社会影响</w:t>
            </w:r>
          </w:p>
        </w:tc>
        <w:tc>
          <w:tcPr>
            <w:tcW w:w="2796" w:type="dxa"/>
            <w:noWrap/>
            <w:vAlign w:val="center"/>
          </w:tcPr>
          <w:p w14:paraId="49C725B6">
            <w:pPr>
              <w:widowControl/>
              <w:jc w:val="center"/>
              <w:rPr>
                <w:rFonts w:ascii="宋体" w:hAnsi="宋体" w:cs="宋体"/>
                <w:kern w:val="0"/>
                <w:szCs w:val="21"/>
                <w:highlight w:val="none"/>
              </w:rPr>
            </w:pPr>
            <w:r>
              <w:rPr>
                <w:rFonts w:hint="eastAsia" w:ascii="宋体" w:hAnsi="宋体" w:cs="宋体"/>
                <w:kern w:val="0"/>
                <w:szCs w:val="21"/>
                <w:highlight w:val="none"/>
              </w:rPr>
              <w:t>出现此类事项，直接判定为</w:t>
            </w:r>
          </w:p>
          <w:p w14:paraId="14A3D578">
            <w:pPr>
              <w:widowControl/>
              <w:jc w:val="center"/>
              <w:rPr>
                <w:rFonts w:ascii="宋体" w:hAnsi="宋体" w:cs="宋体"/>
                <w:kern w:val="0"/>
                <w:szCs w:val="21"/>
                <w:highlight w:val="none"/>
              </w:rPr>
            </w:pPr>
            <w:r>
              <w:rPr>
                <w:rFonts w:hint="eastAsia" w:ascii="宋体" w:hAnsi="宋体" w:cs="宋体"/>
                <w:kern w:val="0"/>
                <w:szCs w:val="21"/>
                <w:highlight w:val="none"/>
              </w:rPr>
              <w:t>不合格供应商</w:t>
            </w:r>
          </w:p>
        </w:tc>
        <w:tc>
          <w:tcPr>
            <w:tcW w:w="1907" w:type="dxa"/>
            <w:gridSpan w:val="2"/>
            <w:noWrap/>
            <w:vAlign w:val="center"/>
          </w:tcPr>
          <w:p w14:paraId="4052C8FC">
            <w:pPr>
              <w:widowControl/>
              <w:jc w:val="center"/>
              <w:rPr>
                <w:rFonts w:ascii="宋体" w:hAnsi="宋体" w:cs="宋体"/>
                <w:szCs w:val="21"/>
                <w:highlight w:val="none"/>
              </w:rPr>
            </w:pPr>
            <w:r>
              <w:rPr>
                <w:rFonts w:hint="eastAsia" w:ascii="宋体" w:hAnsi="宋体" w:cs="宋体"/>
                <w:szCs w:val="21"/>
                <w:highlight w:val="none"/>
              </w:rPr>
              <w:t>有□ 无□</w:t>
            </w:r>
          </w:p>
        </w:tc>
      </w:tr>
      <w:tr w14:paraId="7DC8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restart"/>
            <w:noWrap/>
            <w:vAlign w:val="center"/>
          </w:tcPr>
          <w:p w14:paraId="59D910B0">
            <w:pPr>
              <w:widowControl/>
              <w:jc w:val="center"/>
              <w:rPr>
                <w:rFonts w:ascii="宋体" w:hAnsi="宋体" w:cs="宋体"/>
                <w:kern w:val="0"/>
                <w:szCs w:val="21"/>
                <w:highlight w:val="none"/>
              </w:rPr>
            </w:pPr>
          </w:p>
          <w:p w14:paraId="7BB16776">
            <w:pPr>
              <w:widowControl/>
              <w:jc w:val="center"/>
              <w:rPr>
                <w:rFonts w:ascii="宋体" w:hAnsi="宋体" w:cs="宋体"/>
                <w:kern w:val="0"/>
                <w:szCs w:val="21"/>
                <w:highlight w:val="none"/>
              </w:rPr>
            </w:pPr>
          </w:p>
          <w:p w14:paraId="1D0613DF">
            <w:pPr>
              <w:widowControl/>
              <w:jc w:val="center"/>
              <w:rPr>
                <w:rFonts w:ascii="宋体" w:hAnsi="宋体" w:cs="宋体"/>
                <w:kern w:val="0"/>
                <w:szCs w:val="21"/>
                <w:highlight w:val="none"/>
              </w:rPr>
            </w:pPr>
          </w:p>
          <w:p w14:paraId="6537BBE3">
            <w:pPr>
              <w:widowControl/>
              <w:jc w:val="center"/>
              <w:rPr>
                <w:rFonts w:ascii="宋体" w:hAnsi="宋体" w:cs="宋体"/>
                <w:kern w:val="0"/>
                <w:szCs w:val="21"/>
                <w:highlight w:val="none"/>
              </w:rPr>
            </w:pPr>
          </w:p>
          <w:p w14:paraId="5313C641">
            <w:pPr>
              <w:widowControl/>
              <w:jc w:val="center"/>
              <w:rPr>
                <w:rFonts w:ascii="宋体" w:hAnsi="宋体" w:cs="宋体"/>
                <w:kern w:val="0"/>
                <w:szCs w:val="21"/>
                <w:highlight w:val="none"/>
              </w:rPr>
            </w:pPr>
          </w:p>
          <w:p w14:paraId="318AAF83">
            <w:pPr>
              <w:widowControl/>
              <w:jc w:val="center"/>
              <w:rPr>
                <w:rFonts w:ascii="宋体" w:hAnsi="宋体" w:cs="宋体"/>
                <w:kern w:val="0"/>
                <w:szCs w:val="21"/>
                <w:highlight w:val="none"/>
              </w:rPr>
            </w:pPr>
          </w:p>
          <w:p w14:paraId="5EB96973">
            <w:pPr>
              <w:widowControl/>
              <w:jc w:val="center"/>
              <w:rPr>
                <w:rFonts w:ascii="宋体" w:hAnsi="宋体" w:cs="宋体"/>
                <w:kern w:val="0"/>
                <w:szCs w:val="21"/>
                <w:highlight w:val="none"/>
              </w:rPr>
            </w:pPr>
            <w:r>
              <w:rPr>
                <w:rFonts w:hint="eastAsia" w:ascii="宋体" w:hAnsi="宋体" w:cs="宋体"/>
                <w:kern w:val="0"/>
                <w:szCs w:val="21"/>
                <w:highlight w:val="none"/>
              </w:rPr>
              <w:t>综合评议</w:t>
            </w:r>
          </w:p>
          <w:p w14:paraId="3D500C10">
            <w:pPr>
              <w:widowControl/>
              <w:jc w:val="center"/>
              <w:rPr>
                <w:rFonts w:ascii="宋体" w:hAnsi="宋体" w:cs="宋体"/>
                <w:kern w:val="0"/>
                <w:szCs w:val="21"/>
                <w:highlight w:val="none"/>
              </w:rPr>
            </w:pPr>
          </w:p>
        </w:tc>
        <w:tc>
          <w:tcPr>
            <w:tcW w:w="2268" w:type="dxa"/>
            <w:noWrap/>
            <w:vAlign w:val="center"/>
          </w:tcPr>
          <w:p w14:paraId="46D3563B">
            <w:pPr>
              <w:widowControl/>
              <w:jc w:val="center"/>
              <w:rPr>
                <w:rFonts w:ascii="宋体" w:hAnsi="宋体"/>
                <w:kern w:val="0"/>
                <w:szCs w:val="21"/>
                <w:highlight w:val="none"/>
              </w:rPr>
            </w:pPr>
            <w:r>
              <w:rPr>
                <w:rFonts w:hint="eastAsia" w:ascii="宋体" w:hAnsi="宋体" w:cs="宋体"/>
                <w:kern w:val="0"/>
                <w:szCs w:val="21"/>
                <w:highlight w:val="none"/>
              </w:rPr>
              <w:t>评议内容</w:t>
            </w:r>
          </w:p>
        </w:tc>
        <w:tc>
          <w:tcPr>
            <w:tcW w:w="4272" w:type="dxa"/>
            <w:gridSpan w:val="2"/>
            <w:noWrap/>
            <w:vAlign w:val="center"/>
          </w:tcPr>
          <w:p w14:paraId="2EF9B4D5">
            <w:pPr>
              <w:widowControl/>
              <w:jc w:val="center"/>
              <w:rPr>
                <w:rFonts w:ascii="宋体" w:hAnsi="宋体"/>
                <w:kern w:val="0"/>
                <w:szCs w:val="21"/>
                <w:highlight w:val="none"/>
              </w:rPr>
            </w:pPr>
            <w:r>
              <w:rPr>
                <w:rFonts w:hint="eastAsia" w:ascii="宋体" w:hAnsi="宋体" w:cs="宋体"/>
                <w:kern w:val="0"/>
                <w:szCs w:val="21"/>
                <w:highlight w:val="none"/>
              </w:rPr>
              <w:t>评价标准</w:t>
            </w:r>
          </w:p>
        </w:tc>
        <w:tc>
          <w:tcPr>
            <w:tcW w:w="794" w:type="dxa"/>
            <w:noWrap/>
            <w:vAlign w:val="center"/>
          </w:tcPr>
          <w:p w14:paraId="7D2CB447">
            <w:pPr>
              <w:widowControl/>
              <w:jc w:val="center"/>
              <w:rPr>
                <w:rFonts w:ascii="宋体" w:hAnsi="宋体"/>
                <w:kern w:val="0"/>
                <w:szCs w:val="21"/>
                <w:highlight w:val="none"/>
              </w:rPr>
            </w:pPr>
            <w:r>
              <w:rPr>
                <w:rFonts w:hint="eastAsia" w:ascii="宋体" w:hAnsi="宋体" w:cs="宋体"/>
                <w:kern w:val="0"/>
                <w:szCs w:val="21"/>
                <w:highlight w:val="none"/>
              </w:rPr>
              <w:t>得</w:t>
            </w:r>
            <w:r>
              <w:rPr>
                <w:rFonts w:hint="eastAsia" w:ascii="宋体" w:hAnsi="宋体"/>
                <w:kern w:val="0"/>
                <w:szCs w:val="21"/>
                <w:highlight w:val="none"/>
              </w:rPr>
              <w:t xml:space="preserve"> 分</w:t>
            </w:r>
          </w:p>
        </w:tc>
        <w:tc>
          <w:tcPr>
            <w:tcW w:w="1113" w:type="dxa"/>
            <w:noWrap/>
            <w:vAlign w:val="center"/>
          </w:tcPr>
          <w:p w14:paraId="01745D08">
            <w:pPr>
              <w:widowControl/>
              <w:jc w:val="center"/>
              <w:rPr>
                <w:rFonts w:ascii="宋体" w:hAnsi="宋体"/>
                <w:kern w:val="0"/>
                <w:szCs w:val="21"/>
                <w:highlight w:val="none"/>
              </w:rPr>
            </w:pPr>
            <w:r>
              <w:rPr>
                <w:rFonts w:hint="eastAsia" w:ascii="宋体" w:hAnsi="宋体" w:cs="宋体"/>
                <w:kern w:val="0"/>
                <w:szCs w:val="21"/>
                <w:highlight w:val="none"/>
              </w:rPr>
              <w:t>备注</w:t>
            </w:r>
          </w:p>
        </w:tc>
      </w:tr>
      <w:tr w14:paraId="2F35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2013C2F6">
            <w:pPr>
              <w:widowControl/>
              <w:jc w:val="center"/>
              <w:rPr>
                <w:rFonts w:ascii="宋体" w:hAnsi="宋体" w:cs="宋体"/>
                <w:kern w:val="0"/>
                <w:szCs w:val="21"/>
                <w:highlight w:val="none"/>
              </w:rPr>
            </w:pPr>
          </w:p>
        </w:tc>
        <w:tc>
          <w:tcPr>
            <w:tcW w:w="2268" w:type="dxa"/>
            <w:noWrap/>
            <w:vAlign w:val="center"/>
          </w:tcPr>
          <w:p w14:paraId="5D0DD0C5">
            <w:pPr>
              <w:widowControl/>
              <w:jc w:val="center"/>
              <w:rPr>
                <w:rFonts w:ascii="宋体" w:hAnsi="宋体" w:cs="宋体"/>
                <w:kern w:val="0"/>
                <w:szCs w:val="21"/>
                <w:highlight w:val="none"/>
              </w:rPr>
            </w:pPr>
            <w:r>
              <w:rPr>
                <w:rFonts w:hint="eastAsia" w:ascii="宋体" w:hAnsi="宋体" w:cs="宋体"/>
                <w:kern w:val="0"/>
                <w:szCs w:val="21"/>
                <w:highlight w:val="none"/>
              </w:rPr>
              <w:t>对供应商采购合同或补充协议签订工作配合程度进行评价（20）</w:t>
            </w:r>
          </w:p>
        </w:tc>
        <w:tc>
          <w:tcPr>
            <w:tcW w:w="4272" w:type="dxa"/>
            <w:gridSpan w:val="2"/>
            <w:noWrap/>
            <w:vAlign w:val="center"/>
          </w:tcPr>
          <w:p w14:paraId="1C8B949B">
            <w:pPr>
              <w:snapToGrid w:val="0"/>
              <w:spacing w:line="260" w:lineRule="exact"/>
              <w:jc w:val="left"/>
              <w:rPr>
                <w:rFonts w:ascii="宋体" w:hAnsi="宋体" w:cs="宋体"/>
                <w:szCs w:val="21"/>
                <w:highlight w:val="none"/>
              </w:rPr>
            </w:pPr>
            <w:r>
              <w:rPr>
                <w:rFonts w:ascii="宋体" w:hAnsi="宋体" w:cs="宋体"/>
                <w:szCs w:val="21"/>
                <w:highlight w:val="none"/>
              </w:rPr>
              <w:t>优秀（</w:t>
            </w:r>
            <w:r>
              <w:rPr>
                <w:rFonts w:hint="eastAsia" w:ascii="宋体" w:hAnsi="宋体" w:cs="宋体"/>
                <w:szCs w:val="21"/>
                <w:highlight w:val="none"/>
              </w:rPr>
              <w:t>18</w:t>
            </w:r>
            <w:r>
              <w:rPr>
                <w:rFonts w:ascii="宋体" w:hAnsi="宋体" w:cs="宋体"/>
                <w:szCs w:val="21"/>
                <w:highlight w:val="none"/>
              </w:rPr>
              <w:t>＜得分≤</w:t>
            </w:r>
            <w:r>
              <w:rPr>
                <w:rFonts w:hint="eastAsia" w:ascii="宋体" w:hAnsi="宋体" w:cs="宋体"/>
                <w:szCs w:val="21"/>
                <w:highlight w:val="none"/>
              </w:rPr>
              <w:t>2</w:t>
            </w:r>
            <w:r>
              <w:rPr>
                <w:rFonts w:ascii="宋体" w:hAnsi="宋体" w:cs="宋体"/>
                <w:szCs w:val="21"/>
                <w:highlight w:val="none"/>
              </w:rPr>
              <w:t>0分）；良好（</w:t>
            </w:r>
            <w:r>
              <w:rPr>
                <w:rFonts w:hint="eastAsia" w:ascii="宋体" w:hAnsi="宋体" w:cs="宋体"/>
                <w:szCs w:val="21"/>
                <w:highlight w:val="none"/>
              </w:rPr>
              <w:t>14</w:t>
            </w:r>
            <w:r>
              <w:rPr>
                <w:rFonts w:ascii="宋体" w:hAnsi="宋体" w:cs="宋体"/>
                <w:szCs w:val="21"/>
                <w:highlight w:val="none"/>
              </w:rPr>
              <w:t>＜得分≤</w:t>
            </w:r>
            <w:r>
              <w:rPr>
                <w:rFonts w:hint="eastAsia" w:ascii="宋体" w:hAnsi="宋体" w:cs="宋体"/>
                <w:szCs w:val="21"/>
                <w:highlight w:val="none"/>
              </w:rPr>
              <w:t>18</w:t>
            </w:r>
            <w:r>
              <w:rPr>
                <w:rFonts w:ascii="宋体" w:hAnsi="宋体" w:cs="宋体"/>
                <w:szCs w:val="21"/>
                <w:highlight w:val="none"/>
              </w:rPr>
              <w:t xml:space="preserve">分）；合格（ </w:t>
            </w:r>
            <w:r>
              <w:rPr>
                <w:rFonts w:hint="eastAsia" w:ascii="宋体" w:hAnsi="宋体" w:cs="宋体"/>
                <w:szCs w:val="21"/>
                <w:highlight w:val="none"/>
              </w:rPr>
              <w:t>12</w:t>
            </w:r>
            <w:r>
              <w:rPr>
                <w:rFonts w:ascii="宋体" w:hAnsi="宋体" w:cs="宋体"/>
                <w:szCs w:val="21"/>
                <w:highlight w:val="none"/>
              </w:rPr>
              <w:t>＜得分≤</w:t>
            </w:r>
            <w:r>
              <w:rPr>
                <w:rFonts w:hint="eastAsia" w:ascii="宋体" w:hAnsi="宋体" w:cs="宋体"/>
                <w:szCs w:val="21"/>
                <w:highlight w:val="none"/>
              </w:rPr>
              <w:t>14</w:t>
            </w:r>
            <w:r>
              <w:rPr>
                <w:rFonts w:ascii="宋体" w:hAnsi="宋体" w:cs="宋体"/>
                <w:szCs w:val="21"/>
                <w:highlight w:val="none"/>
              </w:rPr>
              <w:t>分）；不合格（0＜得分≤</w:t>
            </w:r>
            <w:r>
              <w:rPr>
                <w:rFonts w:hint="eastAsia" w:ascii="宋体" w:hAnsi="宋体" w:cs="宋体"/>
                <w:szCs w:val="21"/>
                <w:highlight w:val="none"/>
              </w:rPr>
              <w:t>12</w:t>
            </w:r>
            <w:r>
              <w:rPr>
                <w:rFonts w:ascii="宋体" w:hAnsi="宋体" w:cs="宋体"/>
                <w:szCs w:val="21"/>
                <w:highlight w:val="none"/>
              </w:rPr>
              <w:t>分）</w:t>
            </w:r>
          </w:p>
        </w:tc>
        <w:tc>
          <w:tcPr>
            <w:tcW w:w="794" w:type="dxa"/>
            <w:noWrap/>
            <w:vAlign w:val="center"/>
          </w:tcPr>
          <w:p w14:paraId="45092DD4">
            <w:pPr>
              <w:widowControl/>
              <w:snapToGrid w:val="0"/>
              <w:spacing w:line="260" w:lineRule="exact"/>
              <w:jc w:val="center"/>
              <w:rPr>
                <w:rFonts w:ascii="宋体" w:hAnsi="宋体" w:cs="宋体"/>
                <w:kern w:val="0"/>
                <w:szCs w:val="21"/>
                <w:highlight w:val="none"/>
              </w:rPr>
            </w:pPr>
          </w:p>
        </w:tc>
        <w:tc>
          <w:tcPr>
            <w:tcW w:w="1113" w:type="dxa"/>
            <w:noWrap/>
            <w:vAlign w:val="center"/>
          </w:tcPr>
          <w:p w14:paraId="018D62D5">
            <w:pPr>
              <w:widowControl/>
              <w:snapToGrid w:val="0"/>
              <w:spacing w:line="260" w:lineRule="exact"/>
              <w:jc w:val="center"/>
              <w:rPr>
                <w:rFonts w:ascii="宋体" w:hAnsi="宋体"/>
                <w:kern w:val="0"/>
                <w:szCs w:val="21"/>
                <w:highlight w:val="none"/>
              </w:rPr>
            </w:pPr>
          </w:p>
        </w:tc>
      </w:tr>
      <w:tr w14:paraId="53FD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4940E2FD">
            <w:pPr>
              <w:widowControl/>
              <w:jc w:val="left"/>
              <w:rPr>
                <w:rFonts w:ascii="宋体" w:hAnsi="宋体" w:cs="宋体"/>
                <w:kern w:val="0"/>
                <w:szCs w:val="21"/>
                <w:highlight w:val="none"/>
              </w:rPr>
            </w:pPr>
          </w:p>
        </w:tc>
        <w:tc>
          <w:tcPr>
            <w:tcW w:w="2268" w:type="dxa"/>
            <w:noWrap/>
            <w:vAlign w:val="center"/>
          </w:tcPr>
          <w:p w14:paraId="299EFA37">
            <w:pPr>
              <w:widowControl/>
              <w:jc w:val="center"/>
              <w:rPr>
                <w:rFonts w:ascii="宋体" w:hAnsi="宋体" w:cs="宋体"/>
                <w:kern w:val="0"/>
                <w:szCs w:val="21"/>
                <w:highlight w:val="none"/>
              </w:rPr>
            </w:pPr>
            <w:r>
              <w:rPr>
                <w:rFonts w:hint="eastAsia" w:ascii="宋体" w:hAnsi="宋体" w:cs="宋体"/>
                <w:kern w:val="0"/>
                <w:szCs w:val="21"/>
                <w:highlight w:val="none"/>
              </w:rPr>
              <w:t>对供应商提供的货物/服务的质量进行评价（30）</w:t>
            </w:r>
          </w:p>
        </w:tc>
        <w:tc>
          <w:tcPr>
            <w:tcW w:w="4272" w:type="dxa"/>
            <w:gridSpan w:val="2"/>
            <w:noWrap/>
            <w:vAlign w:val="center"/>
          </w:tcPr>
          <w:p w14:paraId="483E0F49">
            <w:pPr>
              <w:snapToGrid w:val="0"/>
              <w:spacing w:line="260" w:lineRule="exact"/>
              <w:jc w:val="left"/>
              <w:rPr>
                <w:rFonts w:ascii="宋体" w:hAnsi="宋体" w:cs="宋体"/>
                <w:szCs w:val="21"/>
                <w:highlight w:val="none"/>
              </w:rPr>
            </w:pPr>
            <w:r>
              <w:rPr>
                <w:rFonts w:ascii="宋体" w:hAnsi="宋体" w:cs="宋体"/>
                <w:szCs w:val="21"/>
                <w:highlight w:val="none"/>
              </w:rPr>
              <w:t>优秀（</w:t>
            </w:r>
            <w:r>
              <w:rPr>
                <w:rFonts w:hint="eastAsia" w:ascii="宋体" w:hAnsi="宋体" w:cs="宋体"/>
                <w:szCs w:val="21"/>
                <w:highlight w:val="none"/>
              </w:rPr>
              <w:t>27</w:t>
            </w:r>
            <w:r>
              <w:rPr>
                <w:rFonts w:ascii="宋体" w:hAnsi="宋体" w:cs="宋体"/>
                <w:szCs w:val="21"/>
                <w:highlight w:val="none"/>
              </w:rPr>
              <w:t>＜得分≤</w:t>
            </w:r>
            <w:r>
              <w:rPr>
                <w:rFonts w:hint="eastAsia" w:ascii="宋体" w:hAnsi="宋体" w:cs="宋体"/>
                <w:szCs w:val="21"/>
                <w:highlight w:val="none"/>
              </w:rPr>
              <w:t>30</w:t>
            </w:r>
            <w:r>
              <w:rPr>
                <w:rFonts w:ascii="宋体" w:hAnsi="宋体" w:cs="宋体"/>
                <w:szCs w:val="21"/>
                <w:highlight w:val="none"/>
              </w:rPr>
              <w:t>分）；良好（</w:t>
            </w:r>
            <w:r>
              <w:rPr>
                <w:rFonts w:hint="eastAsia" w:ascii="宋体" w:hAnsi="宋体" w:cs="宋体"/>
                <w:szCs w:val="21"/>
                <w:highlight w:val="none"/>
              </w:rPr>
              <w:t>21</w:t>
            </w:r>
            <w:r>
              <w:rPr>
                <w:rFonts w:ascii="宋体" w:hAnsi="宋体" w:cs="宋体"/>
                <w:szCs w:val="21"/>
                <w:highlight w:val="none"/>
              </w:rPr>
              <w:t>＜得分≤</w:t>
            </w:r>
            <w:r>
              <w:rPr>
                <w:rFonts w:hint="eastAsia" w:ascii="宋体" w:hAnsi="宋体" w:cs="宋体"/>
                <w:szCs w:val="21"/>
                <w:highlight w:val="none"/>
              </w:rPr>
              <w:t>27</w:t>
            </w:r>
            <w:r>
              <w:rPr>
                <w:rFonts w:ascii="宋体" w:hAnsi="宋体" w:cs="宋体"/>
                <w:szCs w:val="21"/>
                <w:highlight w:val="none"/>
              </w:rPr>
              <w:t xml:space="preserve">分）；合格（ </w:t>
            </w:r>
            <w:r>
              <w:rPr>
                <w:rFonts w:hint="eastAsia" w:ascii="宋体" w:hAnsi="宋体" w:cs="宋体"/>
                <w:szCs w:val="21"/>
                <w:highlight w:val="none"/>
              </w:rPr>
              <w:t>18</w:t>
            </w:r>
            <w:r>
              <w:rPr>
                <w:rFonts w:ascii="宋体" w:hAnsi="宋体" w:cs="宋体"/>
                <w:szCs w:val="21"/>
                <w:highlight w:val="none"/>
              </w:rPr>
              <w:t>＜得分≤</w:t>
            </w:r>
            <w:r>
              <w:rPr>
                <w:rFonts w:hint="eastAsia" w:ascii="宋体" w:hAnsi="宋体" w:cs="宋体"/>
                <w:szCs w:val="21"/>
                <w:highlight w:val="none"/>
              </w:rPr>
              <w:t>21</w:t>
            </w:r>
            <w:r>
              <w:rPr>
                <w:rFonts w:ascii="宋体" w:hAnsi="宋体" w:cs="宋体"/>
                <w:szCs w:val="21"/>
                <w:highlight w:val="none"/>
              </w:rPr>
              <w:t>分）；不合格（0＜得分≤</w:t>
            </w:r>
            <w:r>
              <w:rPr>
                <w:rFonts w:hint="eastAsia" w:ascii="宋体" w:hAnsi="宋体" w:cs="宋体"/>
                <w:szCs w:val="21"/>
                <w:highlight w:val="none"/>
              </w:rPr>
              <w:t>18</w:t>
            </w:r>
            <w:r>
              <w:rPr>
                <w:rFonts w:ascii="宋体" w:hAnsi="宋体" w:cs="宋体"/>
                <w:szCs w:val="21"/>
                <w:highlight w:val="none"/>
              </w:rPr>
              <w:t>分）</w:t>
            </w:r>
          </w:p>
        </w:tc>
        <w:tc>
          <w:tcPr>
            <w:tcW w:w="794" w:type="dxa"/>
            <w:noWrap/>
            <w:vAlign w:val="center"/>
          </w:tcPr>
          <w:p w14:paraId="697C9888">
            <w:pPr>
              <w:widowControl/>
              <w:snapToGrid w:val="0"/>
              <w:spacing w:line="260" w:lineRule="exact"/>
              <w:jc w:val="center"/>
              <w:rPr>
                <w:rFonts w:ascii="宋体" w:hAnsi="宋体" w:cs="宋体"/>
                <w:kern w:val="0"/>
                <w:szCs w:val="21"/>
                <w:highlight w:val="none"/>
              </w:rPr>
            </w:pPr>
          </w:p>
        </w:tc>
        <w:tc>
          <w:tcPr>
            <w:tcW w:w="1113" w:type="dxa"/>
            <w:noWrap/>
            <w:vAlign w:val="center"/>
          </w:tcPr>
          <w:p w14:paraId="18563FC4">
            <w:pPr>
              <w:widowControl/>
              <w:snapToGrid w:val="0"/>
              <w:spacing w:line="260" w:lineRule="exact"/>
              <w:jc w:val="center"/>
              <w:rPr>
                <w:rFonts w:ascii="宋体" w:hAnsi="宋体"/>
                <w:kern w:val="0"/>
                <w:szCs w:val="21"/>
                <w:highlight w:val="none"/>
              </w:rPr>
            </w:pPr>
          </w:p>
        </w:tc>
      </w:tr>
      <w:tr w14:paraId="624C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3270B640">
            <w:pPr>
              <w:widowControl/>
              <w:jc w:val="left"/>
              <w:rPr>
                <w:rFonts w:ascii="宋体" w:hAnsi="宋体" w:cs="宋体"/>
                <w:kern w:val="0"/>
                <w:szCs w:val="21"/>
                <w:highlight w:val="none"/>
              </w:rPr>
            </w:pPr>
          </w:p>
        </w:tc>
        <w:tc>
          <w:tcPr>
            <w:tcW w:w="2268" w:type="dxa"/>
            <w:noWrap/>
            <w:vAlign w:val="center"/>
          </w:tcPr>
          <w:p w14:paraId="0BC7A7A2">
            <w:pPr>
              <w:widowControl/>
              <w:jc w:val="center"/>
              <w:rPr>
                <w:rFonts w:ascii="宋体" w:hAnsi="宋体" w:cs="宋体"/>
                <w:kern w:val="0"/>
                <w:szCs w:val="21"/>
                <w:highlight w:val="none"/>
              </w:rPr>
            </w:pPr>
            <w:r>
              <w:rPr>
                <w:rFonts w:hint="eastAsia" w:ascii="宋体" w:hAnsi="宋体" w:cs="宋体"/>
                <w:kern w:val="0"/>
                <w:szCs w:val="21"/>
                <w:highlight w:val="none"/>
              </w:rPr>
              <w:t>对供应商供货/服务及时性进行评价（15）</w:t>
            </w:r>
          </w:p>
        </w:tc>
        <w:tc>
          <w:tcPr>
            <w:tcW w:w="4272" w:type="dxa"/>
            <w:gridSpan w:val="2"/>
            <w:noWrap/>
            <w:vAlign w:val="center"/>
          </w:tcPr>
          <w:p w14:paraId="0F47E6D0">
            <w:pPr>
              <w:snapToGrid w:val="0"/>
              <w:spacing w:line="260" w:lineRule="exact"/>
              <w:jc w:val="left"/>
              <w:rPr>
                <w:rFonts w:ascii="宋体" w:hAnsi="宋体" w:cs="宋体"/>
                <w:szCs w:val="21"/>
                <w:highlight w:val="none"/>
              </w:rPr>
            </w:pPr>
            <w:r>
              <w:rPr>
                <w:rFonts w:ascii="宋体" w:hAnsi="宋体" w:cs="宋体"/>
                <w:szCs w:val="21"/>
                <w:highlight w:val="none"/>
              </w:rPr>
              <w:t>优秀（</w:t>
            </w:r>
            <w:r>
              <w:rPr>
                <w:rFonts w:hint="eastAsia" w:ascii="宋体" w:hAnsi="宋体" w:cs="宋体"/>
                <w:szCs w:val="21"/>
                <w:highlight w:val="none"/>
              </w:rPr>
              <w:t>12</w:t>
            </w:r>
            <w:r>
              <w:rPr>
                <w:rFonts w:ascii="宋体" w:hAnsi="宋体" w:cs="宋体"/>
                <w:szCs w:val="21"/>
                <w:highlight w:val="none"/>
              </w:rPr>
              <w:t>＜得分≤</w:t>
            </w:r>
            <w:r>
              <w:rPr>
                <w:rFonts w:hint="eastAsia" w:ascii="宋体" w:hAnsi="宋体" w:cs="宋体"/>
                <w:szCs w:val="21"/>
                <w:highlight w:val="none"/>
              </w:rPr>
              <w:t>1</w:t>
            </w:r>
            <w:r>
              <w:rPr>
                <w:rFonts w:ascii="宋体" w:hAnsi="宋体" w:cs="宋体"/>
                <w:szCs w:val="21"/>
                <w:highlight w:val="none"/>
              </w:rPr>
              <w:t>5分）；良好（</w:t>
            </w:r>
            <w:r>
              <w:rPr>
                <w:rFonts w:hint="eastAsia" w:ascii="宋体" w:hAnsi="宋体" w:cs="宋体"/>
                <w:szCs w:val="21"/>
                <w:highlight w:val="none"/>
              </w:rPr>
              <w:t>9</w:t>
            </w:r>
            <w:r>
              <w:rPr>
                <w:rFonts w:ascii="宋体" w:hAnsi="宋体" w:cs="宋体"/>
                <w:szCs w:val="21"/>
                <w:highlight w:val="none"/>
              </w:rPr>
              <w:t>＜得分≤</w:t>
            </w:r>
            <w:r>
              <w:rPr>
                <w:rFonts w:hint="eastAsia" w:ascii="宋体" w:hAnsi="宋体" w:cs="宋体"/>
                <w:szCs w:val="21"/>
                <w:highlight w:val="none"/>
              </w:rPr>
              <w:t>12</w:t>
            </w:r>
            <w:r>
              <w:rPr>
                <w:rFonts w:ascii="宋体" w:hAnsi="宋体" w:cs="宋体"/>
                <w:szCs w:val="21"/>
                <w:highlight w:val="none"/>
              </w:rPr>
              <w:t xml:space="preserve">分）；合格（ </w:t>
            </w:r>
            <w:r>
              <w:rPr>
                <w:rFonts w:hint="eastAsia" w:ascii="宋体" w:hAnsi="宋体" w:cs="宋体"/>
                <w:szCs w:val="21"/>
                <w:highlight w:val="none"/>
              </w:rPr>
              <w:t>6</w:t>
            </w:r>
            <w:r>
              <w:rPr>
                <w:rFonts w:ascii="宋体" w:hAnsi="宋体" w:cs="宋体"/>
                <w:szCs w:val="21"/>
                <w:highlight w:val="none"/>
              </w:rPr>
              <w:t>＜得分≤</w:t>
            </w:r>
            <w:r>
              <w:rPr>
                <w:rFonts w:hint="eastAsia" w:ascii="宋体" w:hAnsi="宋体" w:cs="宋体"/>
                <w:szCs w:val="21"/>
                <w:highlight w:val="none"/>
              </w:rPr>
              <w:t>9</w:t>
            </w:r>
            <w:r>
              <w:rPr>
                <w:rFonts w:ascii="宋体" w:hAnsi="宋体" w:cs="宋体"/>
                <w:szCs w:val="21"/>
                <w:highlight w:val="none"/>
              </w:rPr>
              <w:t>分）；不合格（0＜得分≤</w:t>
            </w:r>
            <w:r>
              <w:rPr>
                <w:rFonts w:hint="eastAsia" w:ascii="宋体" w:hAnsi="宋体" w:cs="宋体"/>
                <w:szCs w:val="21"/>
                <w:highlight w:val="none"/>
              </w:rPr>
              <w:t>6</w:t>
            </w:r>
            <w:r>
              <w:rPr>
                <w:rFonts w:ascii="宋体" w:hAnsi="宋体" w:cs="宋体"/>
                <w:szCs w:val="21"/>
                <w:highlight w:val="none"/>
              </w:rPr>
              <w:t>分）</w:t>
            </w:r>
          </w:p>
        </w:tc>
        <w:tc>
          <w:tcPr>
            <w:tcW w:w="794" w:type="dxa"/>
            <w:noWrap/>
            <w:vAlign w:val="center"/>
          </w:tcPr>
          <w:p w14:paraId="2847368C">
            <w:pPr>
              <w:widowControl/>
              <w:snapToGrid w:val="0"/>
              <w:spacing w:line="260" w:lineRule="exact"/>
              <w:jc w:val="center"/>
              <w:rPr>
                <w:rFonts w:ascii="宋体" w:hAnsi="宋体" w:cs="宋体"/>
                <w:kern w:val="0"/>
                <w:szCs w:val="21"/>
                <w:highlight w:val="none"/>
              </w:rPr>
            </w:pPr>
          </w:p>
        </w:tc>
        <w:tc>
          <w:tcPr>
            <w:tcW w:w="1113" w:type="dxa"/>
            <w:noWrap/>
            <w:vAlign w:val="center"/>
          </w:tcPr>
          <w:p w14:paraId="76F5467E">
            <w:pPr>
              <w:widowControl/>
              <w:snapToGrid w:val="0"/>
              <w:spacing w:line="260" w:lineRule="exact"/>
              <w:jc w:val="center"/>
              <w:rPr>
                <w:rFonts w:ascii="宋体" w:hAnsi="宋体"/>
                <w:kern w:val="0"/>
                <w:szCs w:val="21"/>
                <w:highlight w:val="none"/>
              </w:rPr>
            </w:pPr>
          </w:p>
        </w:tc>
      </w:tr>
      <w:tr w14:paraId="15CF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36BC6885">
            <w:pPr>
              <w:widowControl/>
              <w:jc w:val="left"/>
              <w:rPr>
                <w:rFonts w:ascii="宋体" w:hAnsi="宋体" w:cs="宋体"/>
                <w:kern w:val="0"/>
                <w:szCs w:val="21"/>
                <w:highlight w:val="none"/>
              </w:rPr>
            </w:pPr>
          </w:p>
        </w:tc>
        <w:tc>
          <w:tcPr>
            <w:tcW w:w="2268" w:type="dxa"/>
            <w:noWrap/>
            <w:vAlign w:val="center"/>
          </w:tcPr>
          <w:p w14:paraId="3978DF6A">
            <w:pPr>
              <w:widowControl/>
              <w:jc w:val="center"/>
              <w:rPr>
                <w:rFonts w:ascii="宋体" w:hAnsi="宋体" w:cs="宋体"/>
                <w:kern w:val="0"/>
                <w:szCs w:val="21"/>
                <w:highlight w:val="none"/>
              </w:rPr>
            </w:pPr>
            <w:r>
              <w:rPr>
                <w:rFonts w:hint="eastAsia" w:ascii="宋体" w:hAnsi="宋体" w:cs="宋体"/>
                <w:kern w:val="0"/>
                <w:szCs w:val="21"/>
                <w:highlight w:val="none"/>
              </w:rPr>
              <w:t>对供应商发票提交时效性进行评价（10）</w:t>
            </w:r>
          </w:p>
        </w:tc>
        <w:tc>
          <w:tcPr>
            <w:tcW w:w="4272" w:type="dxa"/>
            <w:gridSpan w:val="2"/>
            <w:noWrap/>
            <w:vAlign w:val="center"/>
          </w:tcPr>
          <w:p w14:paraId="7730F445">
            <w:pPr>
              <w:snapToGrid w:val="0"/>
              <w:spacing w:line="260" w:lineRule="exact"/>
              <w:jc w:val="left"/>
              <w:rPr>
                <w:rFonts w:ascii="宋体" w:hAnsi="宋体" w:cs="宋体"/>
                <w:szCs w:val="21"/>
                <w:highlight w:val="none"/>
              </w:rPr>
            </w:pPr>
            <w:r>
              <w:rPr>
                <w:rFonts w:ascii="宋体" w:hAnsi="宋体" w:cs="宋体"/>
                <w:szCs w:val="21"/>
                <w:highlight w:val="none"/>
              </w:rPr>
              <w:t>优秀（9＜得分≤10分）；良好（7＜得分≤9分）；合格（ 6＜得分≤7分）；不合格（0＜得分≤6分）</w:t>
            </w:r>
          </w:p>
        </w:tc>
        <w:tc>
          <w:tcPr>
            <w:tcW w:w="794" w:type="dxa"/>
            <w:noWrap/>
            <w:vAlign w:val="center"/>
          </w:tcPr>
          <w:p w14:paraId="357488AB">
            <w:pPr>
              <w:widowControl/>
              <w:snapToGrid w:val="0"/>
              <w:spacing w:line="260" w:lineRule="exact"/>
              <w:jc w:val="center"/>
              <w:rPr>
                <w:rFonts w:ascii="宋体" w:hAnsi="宋体" w:cs="宋体"/>
                <w:kern w:val="0"/>
                <w:szCs w:val="21"/>
                <w:highlight w:val="none"/>
              </w:rPr>
            </w:pPr>
          </w:p>
        </w:tc>
        <w:tc>
          <w:tcPr>
            <w:tcW w:w="1113" w:type="dxa"/>
            <w:noWrap/>
            <w:vAlign w:val="center"/>
          </w:tcPr>
          <w:p w14:paraId="6D2F3CA1">
            <w:pPr>
              <w:widowControl/>
              <w:snapToGrid w:val="0"/>
              <w:spacing w:line="260" w:lineRule="exact"/>
              <w:jc w:val="center"/>
              <w:rPr>
                <w:rFonts w:ascii="宋体" w:hAnsi="宋体"/>
                <w:kern w:val="0"/>
                <w:szCs w:val="21"/>
                <w:highlight w:val="none"/>
              </w:rPr>
            </w:pPr>
          </w:p>
        </w:tc>
      </w:tr>
      <w:tr w14:paraId="102F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66B8A1AC">
            <w:pPr>
              <w:widowControl/>
              <w:jc w:val="left"/>
              <w:rPr>
                <w:rFonts w:ascii="宋体" w:hAnsi="宋体" w:cs="宋体"/>
                <w:kern w:val="0"/>
                <w:szCs w:val="21"/>
                <w:highlight w:val="none"/>
              </w:rPr>
            </w:pPr>
          </w:p>
        </w:tc>
        <w:tc>
          <w:tcPr>
            <w:tcW w:w="2268" w:type="dxa"/>
            <w:noWrap/>
            <w:vAlign w:val="center"/>
          </w:tcPr>
          <w:p w14:paraId="2B202918">
            <w:pPr>
              <w:widowControl/>
              <w:jc w:val="center"/>
              <w:rPr>
                <w:rFonts w:ascii="宋体" w:hAnsi="宋体" w:cs="宋体"/>
                <w:kern w:val="0"/>
                <w:szCs w:val="21"/>
                <w:highlight w:val="none"/>
              </w:rPr>
            </w:pPr>
            <w:r>
              <w:rPr>
                <w:rFonts w:hint="eastAsia" w:ascii="宋体" w:hAnsi="宋体" w:cs="宋体"/>
                <w:kern w:val="0"/>
                <w:szCs w:val="21"/>
                <w:highlight w:val="none"/>
              </w:rPr>
              <w:t>对供应商售后服务的评价（20）</w:t>
            </w:r>
          </w:p>
        </w:tc>
        <w:tc>
          <w:tcPr>
            <w:tcW w:w="4272" w:type="dxa"/>
            <w:gridSpan w:val="2"/>
            <w:noWrap/>
            <w:vAlign w:val="center"/>
          </w:tcPr>
          <w:p w14:paraId="754C527F">
            <w:pPr>
              <w:snapToGrid w:val="0"/>
              <w:spacing w:line="260" w:lineRule="exact"/>
              <w:jc w:val="left"/>
              <w:rPr>
                <w:rFonts w:ascii="宋体" w:hAnsi="宋体" w:cs="宋体"/>
                <w:szCs w:val="21"/>
                <w:highlight w:val="none"/>
              </w:rPr>
            </w:pPr>
            <w:r>
              <w:rPr>
                <w:rFonts w:ascii="宋体" w:hAnsi="宋体" w:cs="宋体"/>
                <w:szCs w:val="21"/>
                <w:highlight w:val="none"/>
              </w:rPr>
              <w:t>优秀（18＜得分≤20分）；良好（14＜得分≤18分）；合格（ 12＜得分≤14分）；不合格（0＜得分≤12分）</w:t>
            </w:r>
          </w:p>
        </w:tc>
        <w:tc>
          <w:tcPr>
            <w:tcW w:w="794" w:type="dxa"/>
            <w:noWrap/>
            <w:vAlign w:val="center"/>
          </w:tcPr>
          <w:p w14:paraId="0D9C3326">
            <w:pPr>
              <w:widowControl/>
              <w:snapToGrid w:val="0"/>
              <w:spacing w:line="260" w:lineRule="exact"/>
              <w:jc w:val="center"/>
              <w:rPr>
                <w:rFonts w:ascii="宋体" w:hAnsi="宋体" w:cs="宋体"/>
                <w:kern w:val="0"/>
                <w:szCs w:val="21"/>
                <w:highlight w:val="none"/>
              </w:rPr>
            </w:pPr>
          </w:p>
        </w:tc>
        <w:tc>
          <w:tcPr>
            <w:tcW w:w="1113" w:type="dxa"/>
            <w:noWrap/>
            <w:vAlign w:val="center"/>
          </w:tcPr>
          <w:p w14:paraId="43031FA7">
            <w:pPr>
              <w:widowControl/>
              <w:snapToGrid w:val="0"/>
              <w:spacing w:line="260" w:lineRule="exact"/>
              <w:jc w:val="center"/>
              <w:rPr>
                <w:rFonts w:ascii="宋体" w:hAnsi="宋体"/>
                <w:kern w:val="0"/>
                <w:szCs w:val="21"/>
                <w:highlight w:val="none"/>
              </w:rPr>
            </w:pPr>
          </w:p>
        </w:tc>
      </w:tr>
      <w:tr w14:paraId="6AA2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395" w:type="dxa"/>
            <w:vMerge w:val="continue"/>
            <w:noWrap/>
            <w:vAlign w:val="center"/>
          </w:tcPr>
          <w:p w14:paraId="02EB92E3">
            <w:pPr>
              <w:widowControl/>
              <w:jc w:val="left"/>
              <w:rPr>
                <w:rFonts w:ascii="宋体" w:hAnsi="宋体" w:cs="宋体"/>
                <w:kern w:val="0"/>
                <w:szCs w:val="21"/>
                <w:highlight w:val="none"/>
              </w:rPr>
            </w:pPr>
          </w:p>
        </w:tc>
        <w:tc>
          <w:tcPr>
            <w:tcW w:w="2268" w:type="dxa"/>
            <w:noWrap/>
            <w:vAlign w:val="center"/>
          </w:tcPr>
          <w:p w14:paraId="17DE3CD6">
            <w:pPr>
              <w:widowControl/>
              <w:jc w:val="center"/>
              <w:rPr>
                <w:rFonts w:ascii="宋体" w:hAnsi="宋体" w:cs="宋体"/>
                <w:kern w:val="0"/>
                <w:szCs w:val="21"/>
                <w:highlight w:val="none"/>
              </w:rPr>
            </w:pPr>
            <w:r>
              <w:rPr>
                <w:rFonts w:hint="eastAsia" w:ascii="宋体" w:hAnsi="宋体" w:cs="宋体"/>
                <w:kern w:val="0"/>
                <w:szCs w:val="21"/>
                <w:highlight w:val="none"/>
              </w:rPr>
              <w:t>对其他履行情况进行评价</w:t>
            </w:r>
            <w:r>
              <w:rPr>
                <w:rFonts w:ascii="宋体" w:hAnsi="宋体" w:cs="宋体"/>
                <w:kern w:val="0"/>
                <w:szCs w:val="21"/>
                <w:highlight w:val="none"/>
              </w:rPr>
              <w:t>（5）</w:t>
            </w:r>
          </w:p>
        </w:tc>
        <w:tc>
          <w:tcPr>
            <w:tcW w:w="4272" w:type="dxa"/>
            <w:gridSpan w:val="2"/>
            <w:noWrap/>
            <w:vAlign w:val="center"/>
          </w:tcPr>
          <w:p w14:paraId="57AF05F0">
            <w:pPr>
              <w:snapToGrid w:val="0"/>
              <w:spacing w:line="260" w:lineRule="exact"/>
              <w:jc w:val="left"/>
              <w:rPr>
                <w:rFonts w:ascii="宋体" w:hAnsi="宋体" w:cs="宋体"/>
                <w:szCs w:val="21"/>
                <w:highlight w:val="none"/>
              </w:rPr>
            </w:pPr>
            <w:r>
              <w:rPr>
                <w:rFonts w:ascii="宋体" w:hAnsi="宋体" w:cs="宋体"/>
                <w:szCs w:val="21"/>
                <w:highlight w:val="none"/>
              </w:rPr>
              <w:t>优秀（4＜得分≤5分）；良好（3＜得分≤4分）；合格（ 2＜得分≤3分）；不合格（0＜得分≤2分）</w:t>
            </w:r>
          </w:p>
        </w:tc>
        <w:tc>
          <w:tcPr>
            <w:tcW w:w="794" w:type="dxa"/>
            <w:noWrap/>
            <w:vAlign w:val="center"/>
          </w:tcPr>
          <w:p w14:paraId="12439064">
            <w:pPr>
              <w:widowControl/>
              <w:snapToGrid w:val="0"/>
              <w:spacing w:line="260" w:lineRule="exact"/>
              <w:jc w:val="center"/>
              <w:rPr>
                <w:rFonts w:ascii="宋体" w:hAnsi="宋体" w:cs="宋体"/>
                <w:kern w:val="0"/>
                <w:szCs w:val="21"/>
                <w:highlight w:val="none"/>
              </w:rPr>
            </w:pPr>
          </w:p>
        </w:tc>
        <w:tc>
          <w:tcPr>
            <w:tcW w:w="1113" w:type="dxa"/>
            <w:noWrap/>
            <w:vAlign w:val="center"/>
          </w:tcPr>
          <w:p w14:paraId="024DB35E">
            <w:pPr>
              <w:widowControl/>
              <w:snapToGrid w:val="0"/>
              <w:spacing w:line="260" w:lineRule="exact"/>
              <w:jc w:val="center"/>
              <w:rPr>
                <w:rFonts w:ascii="宋体" w:hAnsi="宋体"/>
                <w:kern w:val="0"/>
                <w:szCs w:val="21"/>
                <w:highlight w:val="none"/>
              </w:rPr>
            </w:pPr>
          </w:p>
        </w:tc>
      </w:tr>
      <w:tr w14:paraId="3124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95" w:type="dxa"/>
            <w:vMerge w:val="continue"/>
            <w:noWrap/>
            <w:vAlign w:val="center"/>
          </w:tcPr>
          <w:p w14:paraId="5567CF80">
            <w:pPr>
              <w:jc w:val="center"/>
              <w:rPr>
                <w:rFonts w:ascii="宋体" w:hAnsi="宋体" w:cs="宋体"/>
                <w:kern w:val="0"/>
                <w:szCs w:val="21"/>
                <w:highlight w:val="none"/>
              </w:rPr>
            </w:pPr>
          </w:p>
        </w:tc>
        <w:tc>
          <w:tcPr>
            <w:tcW w:w="6540" w:type="dxa"/>
            <w:gridSpan w:val="3"/>
            <w:noWrap/>
            <w:vAlign w:val="center"/>
          </w:tcPr>
          <w:p w14:paraId="25A9D4B0">
            <w:pPr>
              <w:widowControl/>
              <w:snapToGrid w:val="0"/>
              <w:spacing w:line="260" w:lineRule="exact"/>
              <w:jc w:val="center"/>
              <w:rPr>
                <w:rFonts w:ascii="宋体" w:hAnsi="宋体" w:cs="宋体"/>
                <w:kern w:val="0"/>
                <w:szCs w:val="21"/>
                <w:highlight w:val="none"/>
              </w:rPr>
            </w:pPr>
            <w:r>
              <w:rPr>
                <w:rFonts w:hint="eastAsia" w:ascii="宋体" w:hAnsi="宋体" w:cs="宋体"/>
                <w:kern w:val="0"/>
                <w:szCs w:val="21"/>
                <w:highlight w:val="none"/>
              </w:rPr>
              <w:t>小计</w:t>
            </w:r>
          </w:p>
        </w:tc>
        <w:tc>
          <w:tcPr>
            <w:tcW w:w="794" w:type="dxa"/>
            <w:noWrap/>
            <w:vAlign w:val="center"/>
          </w:tcPr>
          <w:p w14:paraId="7385B8FA">
            <w:pPr>
              <w:widowControl/>
              <w:snapToGrid w:val="0"/>
              <w:spacing w:line="260" w:lineRule="exact"/>
              <w:jc w:val="center"/>
              <w:rPr>
                <w:rFonts w:ascii="宋体" w:hAnsi="宋体"/>
                <w:kern w:val="0"/>
                <w:szCs w:val="21"/>
                <w:highlight w:val="none"/>
              </w:rPr>
            </w:pPr>
          </w:p>
        </w:tc>
        <w:tc>
          <w:tcPr>
            <w:tcW w:w="1113" w:type="dxa"/>
            <w:noWrap/>
            <w:vAlign w:val="center"/>
          </w:tcPr>
          <w:p w14:paraId="5FD15D58">
            <w:pPr>
              <w:widowControl/>
              <w:snapToGrid w:val="0"/>
              <w:spacing w:line="260" w:lineRule="exact"/>
              <w:jc w:val="center"/>
              <w:rPr>
                <w:rFonts w:ascii="宋体" w:hAnsi="宋体"/>
                <w:kern w:val="0"/>
                <w:szCs w:val="21"/>
                <w:highlight w:val="none"/>
              </w:rPr>
            </w:pPr>
          </w:p>
        </w:tc>
      </w:tr>
      <w:tr w14:paraId="3A1F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95" w:type="dxa"/>
            <w:noWrap/>
            <w:vAlign w:val="center"/>
          </w:tcPr>
          <w:p w14:paraId="58A65419">
            <w:pPr>
              <w:jc w:val="center"/>
              <w:rPr>
                <w:rFonts w:ascii="宋体" w:hAnsi="宋体"/>
                <w:kern w:val="0"/>
                <w:szCs w:val="21"/>
                <w:highlight w:val="none"/>
              </w:rPr>
            </w:pPr>
            <w:r>
              <w:rPr>
                <w:rFonts w:hint="eastAsia" w:ascii="宋体" w:hAnsi="宋体" w:cs="宋体"/>
                <w:kern w:val="0"/>
                <w:szCs w:val="21"/>
                <w:highlight w:val="none"/>
              </w:rPr>
              <w:t>合计</w:t>
            </w:r>
          </w:p>
        </w:tc>
        <w:tc>
          <w:tcPr>
            <w:tcW w:w="6540" w:type="dxa"/>
            <w:gridSpan w:val="3"/>
            <w:noWrap/>
            <w:vAlign w:val="center"/>
          </w:tcPr>
          <w:p w14:paraId="58033CFF">
            <w:pPr>
              <w:widowControl/>
              <w:snapToGrid w:val="0"/>
              <w:spacing w:line="260" w:lineRule="exact"/>
              <w:jc w:val="center"/>
              <w:rPr>
                <w:rFonts w:ascii="宋体" w:hAnsi="宋体" w:cs="宋体"/>
                <w:kern w:val="0"/>
                <w:szCs w:val="21"/>
                <w:highlight w:val="none"/>
              </w:rPr>
            </w:pPr>
            <w:r>
              <w:rPr>
                <w:rFonts w:hint="eastAsia" w:ascii="宋体" w:hAnsi="宋体" w:cs="宋体"/>
                <w:kern w:val="0"/>
                <w:szCs w:val="21"/>
                <w:highlight w:val="none"/>
              </w:rPr>
              <w:t>综合评议小计得分</w:t>
            </w:r>
          </w:p>
        </w:tc>
        <w:tc>
          <w:tcPr>
            <w:tcW w:w="794" w:type="dxa"/>
            <w:noWrap/>
            <w:vAlign w:val="center"/>
          </w:tcPr>
          <w:p w14:paraId="3DE08636">
            <w:pPr>
              <w:widowControl/>
              <w:snapToGrid w:val="0"/>
              <w:spacing w:line="260" w:lineRule="exact"/>
              <w:jc w:val="center"/>
              <w:rPr>
                <w:rFonts w:ascii="宋体" w:hAnsi="宋体"/>
                <w:kern w:val="0"/>
                <w:szCs w:val="21"/>
                <w:highlight w:val="none"/>
              </w:rPr>
            </w:pPr>
          </w:p>
        </w:tc>
        <w:tc>
          <w:tcPr>
            <w:tcW w:w="1113" w:type="dxa"/>
            <w:noWrap/>
            <w:vAlign w:val="center"/>
          </w:tcPr>
          <w:p w14:paraId="68EFBD70">
            <w:pPr>
              <w:widowControl/>
              <w:snapToGrid w:val="0"/>
              <w:spacing w:line="260" w:lineRule="exact"/>
              <w:jc w:val="center"/>
              <w:rPr>
                <w:rFonts w:ascii="宋体" w:hAnsi="宋体"/>
                <w:kern w:val="0"/>
                <w:szCs w:val="21"/>
                <w:highlight w:val="none"/>
              </w:rPr>
            </w:pPr>
          </w:p>
        </w:tc>
      </w:tr>
      <w:tr w14:paraId="57F1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395" w:type="dxa"/>
            <w:noWrap/>
            <w:vAlign w:val="center"/>
          </w:tcPr>
          <w:p w14:paraId="7473C142">
            <w:pPr>
              <w:widowControl/>
              <w:spacing w:line="360" w:lineRule="auto"/>
              <w:jc w:val="center"/>
              <w:rPr>
                <w:rFonts w:ascii="宋体" w:hAnsi="宋体"/>
                <w:kern w:val="0"/>
                <w:szCs w:val="21"/>
                <w:highlight w:val="none"/>
              </w:rPr>
            </w:pPr>
            <w:r>
              <w:rPr>
                <w:rFonts w:hint="eastAsia" w:ascii="宋体" w:hAnsi="宋体" w:cs="宋体"/>
                <w:kern w:val="0"/>
                <w:szCs w:val="21"/>
                <w:highlight w:val="none"/>
              </w:rPr>
              <w:t>评价结果</w:t>
            </w:r>
          </w:p>
        </w:tc>
        <w:tc>
          <w:tcPr>
            <w:tcW w:w="8447" w:type="dxa"/>
            <w:gridSpan w:val="5"/>
            <w:noWrap/>
            <w:vAlign w:val="center"/>
          </w:tcPr>
          <w:p w14:paraId="3BE6429A">
            <w:pPr>
              <w:widowControl/>
              <w:snapToGrid w:val="0"/>
              <w:spacing w:line="260" w:lineRule="exact"/>
              <w:jc w:val="center"/>
              <w:rPr>
                <w:rFonts w:ascii="宋体" w:hAnsi="宋体"/>
                <w:kern w:val="0"/>
                <w:szCs w:val="21"/>
                <w:highlight w:val="none"/>
              </w:rPr>
            </w:pPr>
            <w:r>
              <w:rPr>
                <w:rFonts w:hint="eastAsia" w:ascii="宋体" w:hAnsi="宋体" w:cs="宋体"/>
                <w:szCs w:val="21"/>
                <w:highlight w:val="none"/>
              </w:rPr>
              <w:t>优秀（）良好（）合格（）不合格（）</w:t>
            </w:r>
          </w:p>
        </w:tc>
      </w:tr>
      <w:tr w14:paraId="34A9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95" w:type="dxa"/>
            <w:noWrap/>
            <w:vAlign w:val="center"/>
          </w:tcPr>
          <w:p w14:paraId="721567FC">
            <w:pPr>
              <w:widowControl/>
              <w:spacing w:line="360" w:lineRule="auto"/>
              <w:jc w:val="center"/>
              <w:rPr>
                <w:rFonts w:ascii="宋体" w:hAnsi="宋体" w:cs="宋体"/>
                <w:szCs w:val="21"/>
                <w:highlight w:val="none"/>
              </w:rPr>
            </w:pPr>
            <w:r>
              <w:rPr>
                <w:rFonts w:hint="eastAsia" w:ascii="宋体" w:hAnsi="宋体" w:cs="宋体"/>
                <w:szCs w:val="21"/>
                <w:highlight w:val="none"/>
              </w:rPr>
              <w:t>经办人</w:t>
            </w:r>
          </w:p>
          <w:p w14:paraId="2BC991DC">
            <w:pPr>
              <w:widowControl/>
              <w:spacing w:line="360" w:lineRule="auto"/>
              <w:jc w:val="center"/>
              <w:rPr>
                <w:rFonts w:ascii="宋体" w:hAnsi="宋体"/>
                <w:kern w:val="0"/>
                <w:szCs w:val="21"/>
                <w:highlight w:val="none"/>
              </w:rPr>
            </w:pPr>
            <w:r>
              <w:rPr>
                <w:rFonts w:hint="eastAsia" w:ascii="宋体" w:hAnsi="宋体" w:cs="宋体"/>
                <w:szCs w:val="21"/>
                <w:highlight w:val="none"/>
              </w:rPr>
              <w:t>（签名）</w:t>
            </w:r>
          </w:p>
        </w:tc>
        <w:tc>
          <w:tcPr>
            <w:tcW w:w="2268" w:type="dxa"/>
            <w:noWrap/>
            <w:vAlign w:val="center"/>
          </w:tcPr>
          <w:p w14:paraId="0FD8244E">
            <w:pPr>
              <w:widowControl/>
              <w:snapToGrid w:val="0"/>
              <w:spacing w:line="260" w:lineRule="exact"/>
              <w:jc w:val="center"/>
              <w:rPr>
                <w:rFonts w:ascii="宋体" w:hAnsi="宋体"/>
                <w:kern w:val="0"/>
                <w:szCs w:val="21"/>
                <w:highlight w:val="none"/>
              </w:rPr>
            </w:pPr>
          </w:p>
        </w:tc>
        <w:tc>
          <w:tcPr>
            <w:tcW w:w="4272" w:type="dxa"/>
            <w:gridSpan w:val="2"/>
            <w:noWrap/>
            <w:vAlign w:val="center"/>
          </w:tcPr>
          <w:p w14:paraId="428F2D46">
            <w:pPr>
              <w:widowControl/>
              <w:snapToGrid w:val="0"/>
              <w:spacing w:line="260" w:lineRule="exact"/>
              <w:jc w:val="center"/>
              <w:rPr>
                <w:rFonts w:ascii="宋体" w:hAnsi="宋体"/>
                <w:kern w:val="0"/>
                <w:szCs w:val="21"/>
                <w:highlight w:val="none"/>
              </w:rPr>
            </w:pPr>
            <w:r>
              <w:rPr>
                <w:rFonts w:hint="eastAsia" w:ascii="宋体" w:hAnsi="宋体" w:cs="宋体"/>
                <w:szCs w:val="21"/>
                <w:highlight w:val="none"/>
              </w:rPr>
              <w:t>部门负责人（签名）</w:t>
            </w:r>
          </w:p>
        </w:tc>
        <w:tc>
          <w:tcPr>
            <w:tcW w:w="794" w:type="dxa"/>
            <w:noWrap/>
            <w:vAlign w:val="center"/>
          </w:tcPr>
          <w:p w14:paraId="3D94DB4A">
            <w:pPr>
              <w:widowControl/>
              <w:snapToGrid w:val="0"/>
              <w:spacing w:line="260" w:lineRule="exact"/>
              <w:jc w:val="center"/>
              <w:rPr>
                <w:rFonts w:ascii="宋体" w:hAnsi="宋体"/>
                <w:kern w:val="0"/>
                <w:szCs w:val="21"/>
                <w:highlight w:val="none"/>
              </w:rPr>
            </w:pPr>
          </w:p>
        </w:tc>
        <w:tc>
          <w:tcPr>
            <w:tcW w:w="1113" w:type="dxa"/>
            <w:noWrap/>
            <w:vAlign w:val="center"/>
          </w:tcPr>
          <w:p w14:paraId="5B4AC6F0">
            <w:pPr>
              <w:widowControl/>
              <w:snapToGrid w:val="0"/>
              <w:spacing w:line="260" w:lineRule="exact"/>
              <w:jc w:val="center"/>
              <w:rPr>
                <w:rFonts w:ascii="宋体" w:hAnsi="宋体"/>
                <w:kern w:val="0"/>
                <w:szCs w:val="21"/>
                <w:highlight w:val="none"/>
              </w:rPr>
            </w:pPr>
          </w:p>
        </w:tc>
      </w:tr>
      <w:tr w14:paraId="5585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95" w:type="dxa"/>
            <w:noWrap/>
            <w:vAlign w:val="center"/>
          </w:tcPr>
          <w:p w14:paraId="72AABC27">
            <w:pPr>
              <w:widowControl/>
              <w:spacing w:line="360" w:lineRule="auto"/>
              <w:jc w:val="center"/>
              <w:rPr>
                <w:rFonts w:ascii="宋体" w:hAnsi="宋体"/>
                <w:szCs w:val="21"/>
                <w:highlight w:val="none"/>
              </w:rPr>
            </w:pPr>
            <w:r>
              <w:rPr>
                <w:rFonts w:hint="eastAsia" w:ascii="宋体" w:hAnsi="宋体" w:cs="宋体"/>
                <w:szCs w:val="21"/>
                <w:highlight w:val="none"/>
              </w:rPr>
              <w:t>备注</w:t>
            </w:r>
          </w:p>
        </w:tc>
        <w:tc>
          <w:tcPr>
            <w:tcW w:w="8447" w:type="dxa"/>
            <w:gridSpan w:val="5"/>
            <w:noWrap/>
            <w:vAlign w:val="center"/>
          </w:tcPr>
          <w:p w14:paraId="51777BC4">
            <w:pPr>
              <w:numPr>
                <w:ilvl w:val="0"/>
                <w:numId w:val="1"/>
              </w:numPr>
              <w:snapToGrid w:val="0"/>
              <w:spacing w:line="260" w:lineRule="exact"/>
              <w:jc w:val="left"/>
              <w:rPr>
                <w:rFonts w:ascii="Calibri" w:hAnsi="Calibri"/>
                <w:highlight w:val="none"/>
              </w:rPr>
            </w:pPr>
            <w:r>
              <w:rPr>
                <w:rFonts w:hint="eastAsia" w:ascii="宋体" w:hAnsi="宋体" w:cs="宋体"/>
                <w:szCs w:val="21"/>
                <w:highlight w:val="none"/>
              </w:rPr>
              <w:t>如有一票否决项中的任一及以上行为，直接列入不良行为供应商，不用进行评分；</w:t>
            </w:r>
          </w:p>
          <w:p w14:paraId="68B79D3C">
            <w:pPr>
              <w:numPr>
                <w:ilvl w:val="0"/>
                <w:numId w:val="1"/>
              </w:numPr>
              <w:snapToGrid w:val="0"/>
              <w:spacing w:line="260" w:lineRule="exact"/>
              <w:jc w:val="left"/>
              <w:rPr>
                <w:rFonts w:ascii="Calibri" w:hAnsi="Calibri"/>
                <w:highlight w:val="none"/>
              </w:rPr>
            </w:pPr>
            <w:r>
              <w:rPr>
                <w:rFonts w:hint="eastAsia" w:ascii="宋体" w:hAnsi="宋体" w:cs="宋体"/>
                <w:szCs w:val="21"/>
                <w:highlight w:val="none"/>
              </w:rPr>
              <w:t>综合评价由综合评议组成，评议内容可自行设定。</w:t>
            </w:r>
          </w:p>
          <w:p w14:paraId="58EE9972">
            <w:pPr>
              <w:snapToGrid w:val="0"/>
              <w:spacing w:line="260" w:lineRule="exact"/>
              <w:jc w:val="left"/>
              <w:rPr>
                <w:rFonts w:ascii="宋体" w:hAnsi="宋体" w:cs="宋体"/>
                <w:szCs w:val="21"/>
                <w:highlight w:val="none"/>
              </w:rPr>
            </w:pPr>
            <w:r>
              <w:rPr>
                <w:rFonts w:hint="eastAsia" w:ascii="宋体" w:hAnsi="宋体" w:cs="宋体"/>
                <w:szCs w:val="21"/>
                <w:highlight w:val="none"/>
              </w:rPr>
              <w:t>3、综合评价分为四个等级：满分100分，其中优秀（得分﹥90分）、良好（80分＜得分≤90分）、合格（70分＜得分≤80分）、不合格（得分≤70分）；</w:t>
            </w:r>
          </w:p>
          <w:p w14:paraId="3E60F721">
            <w:pPr>
              <w:rPr>
                <w:rFonts w:ascii="宋体" w:hAnsi="宋体"/>
                <w:szCs w:val="21"/>
                <w:highlight w:val="none"/>
              </w:rPr>
            </w:pPr>
            <w:r>
              <w:rPr>
                <w:rFonts w:hint="eastAsia" w:ascii="宋体" w:hAnsi="宋体" w:cs="宋体"/>
                <w:szCs w:val="21"/>
                <w:highlight w:val="none"/>
              </w:rPr>
              <w:t>4、评价时间：合同履行的次年一月。</w:t>
            </w:r>
          </w:p>
        </w:tc>
      </w:tr>
    </w:tbl>
    <w:p w14:paraId="1A5BB683">
      <w:pPr>
        <w:widowControl/>
        <w:spacing w:line="360" w:lineRule="auto"/>
        <w:jc w:val="left"/>
        <w:rPr>
          <w:highlight w:val="none"/>
        </w:rPr>
      </w:pPr>
    </w:p>
    <w:p w14:paraId="2A77AFC6">
      <w:pPr>
        <w:spacing w:after="120" w:line="360" w:lineRule="auto"/>
        <w:rPr>
          <w:rFonts w:hint="eastAsia" w:ascii="宋体" w:hAnsi="宋体" w:cs="宋体"/>
          <w:sz w:val="24"/>
          <w:highlight w:val="none"/>
        </w:rPr>
      </w:pPr>
    </w:p>
    <w:p w14:paraId="7FFD6B39">
      <w:pPr>
        <w:spacing w:after="120" w:line="360" w:lineRule="auto"/>
        <w:rPr>
          <w:rFonts w:hint="eastAsia" w:ascii="宋体" w:hAnsi="宋体" w:cs="宋体"/>
          <w:sz w:val="24"/>
          <w:highlight w:val="none"/>
        </w:rPr>
      </w:pPr>
    </w:p>
    <w:p w14:paraId="32FADEB0">
      <w:pPr>
        <w:spacing w:after="120" w:line="360" w:lineRule="auto"/>
        <w:rPr>
          <w:rFonts w:hint="eastAsia" w:ascii="宋体" w:hAnsi="宋体" w:cs="宋体"/>
          <w:sz w:val="24"/>
          <w:highlight w:val="none"/>
        </w:rPr>
      </w:pPr>
    </w:p>
    <w:p w14:paraId="30C75EC4">
      <w:pPr>
        <w:spacing w:after="120" w:line="360" w:lineRule="auto"/>
        <w:rPr>
          <w:rFonts w:hint="eastAsia" w:ascii="宋体" w:hAnsi="宋体" w:cs="宋体"/>
          <w:sz w:val="24"/>
          <w:highlight w:val="none"/>
        </w:rPr>
      </w:pPr>
    </w:p>
    <w:p w14:paraId="34235631">
      <w:pPr>
        <w:spacing w:after="120" w:line="360" w:lineRule="auto"/>
        <w:rPr>
          <w:rFonts w:hint="eastAsia" w:ascii="宋体" w:hAnsi="宋体" w:cs="宋体"/>
          <w:sz w:val="24"/>
          <w:highlight w:val="none"/>
        </w:rPr>
      </w:pPr>
    </w:p>
    <w:p w14:paraId="2C2A44A2">
      <w:pPr>
        <w:spacing w:after="120" w:line="360" w:lineRule="auto"/>
        <w:rPr>
          <w:rFonts w:hint="eastAsia" w:ascii="宋体" w:hAnsi="宋体" w:cs="宋体"/>
          <w:sz w:val="24"/>
          <w:highlight w:val="none"/>
        </w:rPr>
      </w:pPr>
    </w:p>
    <w:p w14:paraId="1A2DC94C">
      <w:pPr>
        <w:spacing w:after="120" w:line="360" w:lineRule="auto"/>
        <w:rPr>
          <w:rFonts w:hint="eastAsia" w:ascii="宋体" w:hAnsi="宋体" w:cs="宋体"/>
          <w:sz w:val="24"/>
          <w:highlight w:val="none"/>
        </w:rPr>
      </w:pPr>
    </w:p>
    <w:p w14:paraId="76A7A911">
      <w:pPr>
        <w:spacing w:after="120" w:line="360" w:lineRule="auto"/>
        <w:rPr>
          <w:rFonts w:hint="eastAsia" w:ascii="宋体" w:hAnsi="宋体" w:cs="宋体"/>
          <w:sz w:val="24"/>
          <w:highlight w:val="none"/>
        </w:rPr>
      </w:pPr>
    </w:p>
    <w:p w14:paraId="5292364B">
      <w:pPr>
        <w:spacing w:after="120" w:line="360" w:lineRule="auto"/>
        <w:rPr>
          <w:rFonts w:hint="eastAsia" w:ascii="宋体" w:hAnsi="宋体" w:cs="宋体"/>
          <w:sz w:val="24"/>
          <w:highlight w:val="none"/>
        </w:rPr>
      </w:pPr>
    </w:p>
    <w:p w14:paraId="66E1CF39">
      <w:pPr>
        <w:spacing w:after="120" w:line="360" w:lineRule="auto"/>
        <w:rPr>
          <w:rFonts w:hint="eastAsia" w:ascii="宋体" w:hAnsi="宋体" w:cs="宋体"/>
          <w:sz w:val="24"/>
          <w:highlight w:val="none"/>
        </w:rPr>
      </w:pPr>
    </w:p>
    <w:p w14:paraId="5337395A">
      <w:pPr>
        <w:spacing w:after="120" w:line="360" w:lineRule="auto"/>
        <w:rPr>
          <w:rFonts w:hint="eastAsia" w:ascii="宋体" w:hAnsi="宋体" w:cs="宋体"/>
          <w:sz w:val="24"/>
          <w:highlight w:val="none"/>
        </w:rPr>
      </w:pPr>
    </w:p>
    <w:p w14:paraId="044DD188">
      <w:pPr>
        <w:spacing w:after="120" w:line="360" w:lineRule="auto"/>
        <w:rPr>
          <w:rFonts w:hint="eastAsia" w:ascii="宋体" w:hAnsi="宋体" w:cs="宋体"/>
          <w:sz w:val="24"/>
          <w:highlight w:val="none"/>
        </w:rPr>
      </w:pPr>
    </w:p>
    <w:p w14:paraId="46DC6D67">
      <w:pPr>
        <w:rPr>
          <w:rFonts w:hint="eastAsia" w:ascii="宋体" w:hAnsi="宋体" w:cs="宋体"/>
          <w:sz w:val="24"/>
          <w:highlight w:val="none"/>
        </w:rPr>
      </w:pPr>
      <w:r>
        <w:rPr>
          <w:rFonts w:hint="eastAsia" w:ascii="宋体" w:hAnsi="宋体" w:cs="宋体"/>
          <w:sz w:val="24"/>
          <w:highlight w:val="none"/>
        </w:rPr>
        <w:br w:type="page"/>
      </w:r>
    </w:p>
    <w:p w14:paraId="293D0F34">
      <w:pPr>
        <w:spacing w:after="120" w:line="360" w:lineRule="auto"/>
        <w:rPr>
          <w:rFonts w:ascii="仿宋_GB2312" w:hAnsi="仿宋_GB2312" w:eastAsia="仿宋_GB2312" w:cs="仿宋_GB2312"/>
          <w:bCs/>
          <w:sz w:val="28"/>
          <w:szCs w:val="28"/>
          <w:highlight w:val="none"/>
        </w:rPr>
      </w:pPr>
      <w:r>
        <w:rPr>
          <w:rFonts w:hint="eastAsia" w:ascii="宋体" w:hAnsi="宋体" w:cs="宋体"/>
          <w:sz w:val="24"/>
          <w:highlight w:val="none"/>
        </w:rPr>
        <w:t>附件3：</w:t>
      </w:r>
      <w:r>
        <w:rPr>
          <w:rFonts w:hint="eastAsia" w:ascii="仿宋_GB2312" w:hAnsi="仿宋_GB2312" w:eastAsia="仿宋_GB2312" w:cs="仿宋_GB2312"/>
          <w:b/>
          <w:sz w:val="28"/>
          <w:szCs w:val="28"/>
          <w:highlight w:val="none"/>
        </w:rPr>
        <w:t xml:space="preserve"> </w:t>
      </w:r>
      <w:r>
        <w:rPr>
          <w:rFonts w:hint="eastAsia" w:ascii="仿宋_GB2312" w:hAnsi="仿宋_GB2312" w:eastAsia="仿宋_GB2312" w:cs="仿宋_GB2312"/>
          <w:bCs/>
          <w:sz w:val="28"/>
          <w:szCs w:val="28"/>
          <w:highlight w:val="none"/>
        </w:rPr>
        <w:t xml:space="preserve">             </w:t>
      </w:r>
    </w:p>
    <w:p w14:paraId="182238D3">
      <w:pPr>
        <w:spacing w:after="120" w:line="360" w:lineRule="auto"/>
        <w:jc w:val="center"/>
        <w:rPr>
          <w:rFonts w:ascii="仿宋_GB2312" w:hAnsi="仿宋_GB2312" w:eastAsia="仿宋_GB2312" w:cs="仿宋_GB2312"/>
          <w:sz w:val="28"/>
          <w:szCs w:val="28"/>
          <w:highlight w:val="none"/>
        </w:rPr>
      </w:pPr>
      <w:r>
        <w:rPr>
          <w:rFonts w:hint="eastAsia" w:ascii="宋体" w:hAnsi="宋体" w:cs="宋体"/>
          <w:b/>
          <w:bCs/>
          <w:sz w:val="30"/>
          <w:szCs w:val="30"/>
          <w:highlight w:val="none"/>
        </w:rPr>
        <w:t xml:space="preserve">单次卷烟纸箱回收销售单 </w:t>
      </w:r>
      <w:r>
        <w:rPr>
          <w:rFonts w:hint="eastAsia" w:ascii="仿宋_GB2312" w:hAnsi="仿宋_GB2312" w:eastAsia="仿宋_GB2312" w:cs="仿宋_GB2312"/>
          <w:b/>
          <w:bCs/>
          <w:sz w:val="30"/>
          <w:szCs w:val="30"/>
          <w:highlight w:val="none"/>
        </w:rPr>
        <w:t xml:space="preserve">  </w:t>
      </w:r>
      <w:r>
        <w:rPr>
          <w:rFonts w:hint="eastAsia" w:ascii="仿宋_GB2312" w:hAnsi="仿宋_GB2312" w:eastAsia="仿宋_GB2312" w:cs="仿宋_GB2312"/>
          <w:bCs/>
          <w:sz w:val="28"/>
          <w:szCs w:val="28"/>
          <w:highlight w:val="none"/>
        </w:rPr>
        <w:t xml:space="preserve"> </w:t>
      </w:r>
    </w:p>
    <w:p w14:paraId="289DC9E7">
      <w:p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19475B1C">
      <w:pPr>
        <w:spacing w:line="360" w:lineRule="auto"/>
        <w:ind w:firstLine="560" w:firstLineChars="200"/>
        <w:rPr>
          <w:rFonts w:ascii="宋体" w:hAnsi="宋体" w:cs="宋体"/>
          <w:sz w:val="28"/>
          <w:szCs w:val="28"/>
          <w:highlight w:val="none"/>
        </w:rPr>
      </w:pPr>
    </w:p>
    <w:p w14:paraId="2A011DA2">
      <w:pPr>
        <w:spacing w:line="360" w:lineRule="auto"/>
        <w:ind w:firstLine="560" w:firstLineChars="200"/>
        <w:rPr>
          <w:rFonts w:ascii="宋体" w:hAnsi="宋体" w:cs="宋体"/>
          <w:sz w:val="28"/>
          <w:szCs w:val="28"/>
          <w:highlight w:val="none"/>
        </w:rPr>
      </w:pPr>
      <w:r>
        <w:rPr>
          <w:rFonts w:ascii="宋体" w:hAnsi="宋体" w:cs="宋体"/>
          <w:sz w:val="28"/>
          <w:szCs w:val="28"/>
          <w:highlight w:val="none"/>
        </w:rPr>
        <w:t>丽水烟草配送中心</w:t>
      </w:r>
      <w:r>
        <w:rPr>
          <w:rFonts w:hint="eastAsia" w:ascii="宋体" w:hAnsi="宋体" w:cs="宋体"/>
          <w:sz w:val="28"/>
          <w:szCs w:val="28"/>
          <w:highlight w:val="none"/>
        </w:rPr>
        <w:t>卷烟纸箱提货相关事项具体情况如下：</w:t>
      </w:r>
    </w:p>
    <w:p w14:paraId="65CB71DF">
      <w:pPr>
        <w:spacing w:line="360" w:lineRule="auto"/>
        <w:ind w:left="420" w:hanging="420" w:hangingChars="150"/>
        <w:rPr>
          <w:rFonts w:ascii="宋体" w:hAnsi="宋体" w:cs="宋体"/>
          <w:sz w:val="28"/>
          <w:szCs w:val="28"/>
          <w:highlight w:val="none"/>
        </w:rPr>
      </w:pPr>
      <w:r>
        <w:rPr>
          <w:rFonts w:hint="eastAsia" w:ascii="宋体" w:hAnsi="宋体" w:cs="宋体"/>
          <w:sz w:val="28"/>
          <w:szCs w:val="28"/>
          <w:highlight w:val="none"/>
        </w:rPr>
        <w:t>一、</w:t>
      </w:r>
      <w:r>
        <w:rPr>
          <w:rFonts w:ascii="宋体" w:hAnsi="宋体" w:cs="宋体"/>
          <w:sz w:val="28"/>
          <w:szCs w:val="28"/>
          <w:highlight w:val="none"/>
        </w:rPr>
        <w:t>此次</w:t>
      </w:r>
      <w:r>
        <w:rPr>
          <w:rFonts w:hint="eastAsia" w:ascii="宋体" w:hAnsi="宋体" w:cs="宋体"/>
          <w:sz w:val="28"/>
          <w:szCs w:val="28"/>
          <w:highlight w:val="none"/>
        </w:rPr>
        <w:t>销售回收纸箱数量：标准箱</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个；尺寸小于标准箱的</w:t>
      </w:r>
      <w:r>
        <w:rPr>
          <w:rFonts w:hint="eastAsia" w:ascii="宋体" w:hAnsi="宋体" w:cs="宋体"/>
          <w:spacing w:val="-4"/>
          <w:sz w:val="28"/>
          <w:szCs w:val="28"/>
          <w:highlight w:val="none"/>
        </w:rPr>
        <w:t>小纸箱</w:t>
      </w:r>
      <w:r>
        <w:rPr>
          <w:rFonts w:ascii="宋体" w:hAnsi="宋体" w:cs="宋体"/>
          <w:spacing w:val="-4"/>
          <w:sz w:val="28"/>
          <w:szCs w:val="28"/>
          <w:highlight w:val="none"/>
          <w:u w:val="single"/>
        </w:rPr>
        <w:t xml:space="preserve"> </w:t>
      </w:r>
      <w:r>
        <w:rPr>
          <w:rFonts w:hint="eastAsia" w:ascii="宋体" w:hAnsi="宋体" w:cs="宋体"/>
          <w:spacing w:val="-4"/>
          <w:sz w:val="28"/>
          <w:szCs w:val="28"/>
          <w:highlight w:val="none"/>
          <w:u w:val="single"/>
        </w:rPr>
        <w:t xml:space="preserve">     </w:t>
      </w:r>
      <w:r>
        <w:rPr>
          <w:rFonts w:hint="eastAsia" w:ascii="宋体" w:hAnsi="宋体" w:cs="宋体"/>
          <w:spacing w:val="-4"/>
          <w:sz w:val="28"/>
          <w:szCs w:val="28"/>
          <w:highlight w:val="none"/>
        </w:rPr>
        <w:t>个。</w:t>
      </w:r>
      <w:r>
        <w:rPr>
          <w:rFonts w:hint="eastAsia" w:ascii="宋体" w:hAnsi="宋体" w:cs="宋体"/>
          <w:sz w:val="28"/>
          <w:szCs w:val="28"/>
          <w:highlight w:val="none"/>
        </w:rPr>
        <w:t xml:space="preserve"> 费用合计</w:t>
      </w: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元（成交价</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 xml:space="preserve">元/只，尺寸小于标准箱的小纸箱二只折算为标准箱一只计算）。 </w:t>
      </w:r>
    </w:p>
    <w:p w14:paraId="0CD093BD">
      <w:pPr>
        <w:spacing w:line="360" w:lineRule="auto"/>
        <w:ind w:left="420" w:hanging="420" w:hangingChars="150"/>
        <w:rPr>
          <w:rFonts w:ascii="宋体" w:hAnsi="宋体" w:cs="宋体"/>
          <w:sz w:val="28"/>
          <w:szCs w:val="28"/>
          <w:highlight w:val="none"/>
        </w:rPr>
      </w:pPr>
      <w:r>
        <w:rPr>
          <w:rFonts w:hint="eastAsia" w:ascii="宋体" w:hAnsi="宋体" w:cs="宋体"/>
          <w:sz w:val="28"/>
          <w:szCs w:val="28"/>
          <w:highlight w:val="none"/>
        </w:rPr>
        <w:t>二、履行时间、地点、方式：贵公司应于</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年 </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日前至我公司指定地点：</w:t>
      </w:r>
      <w:r>
        <w:rPr>
          <w:rFonts w:ascii="宋体" w:hAnsi="宋体" w:cs="宋体"/>
          <w:sz w:val="28"/>
          <w:szCs w:val="28"/>
          <w:highlight w:val="none"/>
          <w:u w:val="single"/>
        </w:rPr>
        <w:t>浙江省丽水市飞雨路157号</w:t>
      </w:r>
      <w:r>
        <w:rPr>
          <w:rFonts w:hint="eastAsia" w:ascii="宋体" w:hAnsi="宋体" w:cs="宋体"/>
          <w:sz w:val="28"/>
          <w:szCs w:val="28"/>
          <w:highlight w:val="none"/>
        </w:rPr>
        <w:t>将所有卷烟纸箱提清。遇到特殊情况需要延后提清的，可以在征得我方同意后按另行约定时间提清。</w:t>
      </w:r>
    </w:p>
    <w:p w14:paraId="0D0EBB3A">
      <w:pPr>
        <w:spacing w:line="360" w:lineRule="auto"/>
        <w:ind w:left="420" w:hanging="420" w:hangingChars="150"/>
        <w:rPr>
          <w:rFonts w:ascii="宋体" w:hAnsi="宋体" w:cs="宋体"/>
          <w:sz w:val="28"/>
          <w:szCs w:val="28"/>
          <w:highlight w:val="none"/>
        </w:rPr>
      </w:pPr>
      <w:r>
        <w:rPr>
          <w:rFonts w:hint="eastAsia" w:ascii="宋体" w:hAnsi="宋体" w:cs="宋体"/>
          <w:sz w:val="28"/>
          <w:szCs w:val="28"/>
          <w:highlight w:val="none"/>
        </w:rPr>
        <w:t>三、本回收销售单订单未尽事宜，均按照我公司与贵单位签署的《202</w:t>
      </w:r>
      <w:r>
        <w:rPr>
          <w:rFonts w:hint="eastAsia" w:ascii="宋体" w:hAnsi="宋体" w:cs="宋体"/>
          <w:sz w:val="28"/>
          <w:szCs w:val="28"/>
          <w:highlight w:val="none"/>
          <w:lang w:val="en-US" w:eastAsia="zh-CN"/>
        </w:rPr>
        <w:t>6</w:t>
      </w:r>
      <w:r>
        <w:rPr>
          <w:rFonts w:hint="eastAsia" w:ascii="宋体" w:hAnsi="宋体" w:cs="宋体"/>
          <w:sz w:val="28"/>
          <w:szCs w:val="28"/>
          <w:highlight w:val="none"/>
        </w:rPr>
        <w:t>-202</w:t>
      </w:r>
      <w:r>
        <w:rPr>
          <w:rFonts w:hint="eastAsia" w:ascii="宋体" w:hAnsi="宋体" w:cs="宋体"/>
          <w:sz w:val="28"/>
          <w:szCs w:val="28"/>
          <w:highlight w:val="none"/>
          <w:lang w:val="en-US" w:eastAsia="zh-CN"/>
        </w:rPr>
        <w:t>7</w:t>
      </w:r>
      <w:r>
        <w:rPr>
          <w:rFonts w:hint="eastAsia" w:ascii="宋体" w:hAnsi="宋体" w:cs="宋体"/>
          <w:sz w:val="28"/>
          <w:szCs w:val="28"/>
          <w:highlight w:val="none"/>
        </w:rPr>
        <w:t>年丽水烟草卷烟包装箱回收合同》（合同编号：      ）中约定执行。本卷烟纸箱销售单壹式</w:t>
      </w:r>
      <w:r>
        <w:rPr>
          <w:rFonts w:hint="eastAsia" w:ascii="宋体" w:hAnsi="宋体" w:cs="宋体"/>
          <w:sz w:val="28"/>
          <w:szCs w:val="28"/>
          <w:highlight w:val="none"/>
          <w:u w:val="single"/>
        </w:rPr>
        <w:t xml:space="preserve"> </w:t>
      </w:r>
      <w:r>
        <w:rPr>
          <w:rFonts w:ascii="宋体" w:hAnsi="宋体" w:cs="宋体"/>
          <w:sz w:val="28"/>
          <w:szCs w:val="28"/>
          <w:highlight w:val="none"/>
          <w:u w:val="single"/>
        </w:rPr>
        <w:t>肆</w:t>
      </w:r>
      <w:r>
        <w:rPr>
          <w:rFonts w:hint="eastAsia" w:ascii="宋体" w:hAnsi="宋体" w:cs="宋体"/>
          <w:sz w:val="28"/>
          <w:szCs w:val="28"/>
          <w:highlight w:val="none"/>
          <w:u w:val="single"/>
        </w:rPr>
        <w:t xml:space="preserve"> </w:t>
      </w:r>
      <w:r>
        <w:rPr>
          <w:rFonts w:hint="eastAsia" w:ascii="宋体" w:hAnsi="宋体" w:cs="宋体"/>
          <w:sz w:val="28"/>
          <w:szCs w:val="28"/>
          <w:highlight w:val="none"/>
        </w:rPr>
        <w:t>份，甲</w:t>
      </w:r>
      <w:r>
        <w:rPr>
          <w:rFonts w:ascii="宋体" w:hAnsi="宋体" w:cs="宋体"/>
          <w:sz w:val="28"/>
          <w:szCs w:val="28"/>
          <w:highlight w:val="none"/>
        </w:rPr>
        <w:t>乙双方各持</w:t>
      </w:r>
      <w:r>
        <w:rPr>
          <w:rFonts w:ascii="宋体" w:hAnsi="宋体" w:cs="宋体"/>
          <w:sz w:val="28"/>
          <w:szCs w:val="28"/>
          <w:highlight w:val="none"/>
          <w:u w:val="single"/>
        </w:rPr>
        <w:t xml:space="preserve"> 贰 </w:t>
      </w:r>
      <w:r>
        <w:rPr>
          <w:rFonts w:hint="eastAsia" w:ascii="宋体" w:hAnsi="宋体" w:cs="宋体"/>
          <w:sz w:val="28"/>
          <w:szCs w:val="28"/>
          <w:highlight w:val="none"/>
        </w:rPr>
        <w:t>份。</w:t>
      </w:r>
    </w:p>
    <w:p w14:paraId="0F491789">
      <w:pPr>
        <w:spacing w:line="360" w:lineRule="auto"/>
        <w:rPr>
          <w:rFonts w:ascii="仿宋_GB2312" w:hAnsi="仿宋_GB2312" w:eastAsia="仿宋_GB2312" w:cs="仿宋_GB2312"/>
          <w:sz w:val="28"/>
          <w:szCs w:val="28"/>
          <w:highlight w:val="none"/>
        </w:rPr>
      </w:pPr>
      <w:r>
        <w:rPr>
          <w:rFonts w:hint="eastAsia" w:ascii="宋体" w:hAnsi="宋体" w:cs="宋体"/>
          <w:sz w:val="28"/>
          <w:szCs w:val="28"/>
          <w:highlight w:val="none"/>
        </w:rPr>
        <w:t>四、其他约定：</w:t>
      </w:r>
      <w:r>
        <w:rPr>
          <w:rFonts w:ascii="宋体" w:hAnsi="宋体" w:cs="宋体"/>
          <w:sz w:val="28"/>
          <w:szCs w:val="28"/>
          <w:highlight w:val="none"/>
          <w:u w:val="single"/>
        </w:rPr>
        <w:t xml:space="preserve">          </w:t>
      </w:r>
      <w:r>
        <w:rPr>
          <w:rFonts w:hint="eastAsia" w:ascii="宋体" w:hAnsi="宋体" w:cs="宋体"/>
          <w:sz w:val="28"/>
          <w:szCs w:val="28"/>
          <w:highlight w:val="none"/>
          <w:u w:val="single"/>
        </w:rPr>
        <w:t>/</w:t>
      </w:r>
      <w:r>
        <w:rPr>
          <w:rFonts w:ascii="宋体" w:hAnsi="宋体" w:cs="宋体"/>
          <w:sz w:val="28"/>
          <w:szCs w:val="28"/>
          <w:highlight w:val="none"/>
          <w:u w:val="single"/>
        </w:rPr>
        <w:t xml:space="preserve">             </w:t>
      </w:r>
      <w:r>
        <w:rPr>
          <w:rFonts w:ascii="宋体" w:hAnsi="宋体" w:cs="宋体"/>
          <w:sz w:val="28"/>
          <w:szCs w:val="28"/>
          <w:highlight w:val="none"/>
        </w:rPr>
        <w:t>。</w:t>
      </w:r>
      <w:r>
        <w:rPr>
          <w:rFonts w:hint="eastAsia" w:ascii="宋体" w:hAnsi="宋体" w:cs="宋体"/>
          <w:sz w:val="28"/>
          <w:szCs w:val="28"/>
          <w:highlight w:val="none"/>
        </w:rPr>
        <w:t xml:space="preserve">                     </w:t>
      </w:r>
      <w:r>
        <w:rPr>
          <w:rFonts w:hint="eastAsia" w:ascii="仿宋_GB2312" w:hAnsi="仿宋_GB2312" w:eastAsia="仿宋_GB2312" w:cs="仿宋_GB2312"/>
          <w:sz w:val="28"/>
          <w:szCs w:val="28"/>
          <w:highlight w:val="none"/>
        </w:rPr>
        <w:t xml:space="preserve">                   </w:t>
      </w:r>
    </w:p>
    <w:p w14:paraId="61F49316">
      <w:pPr>
        <w:tabs>
          <w:tab w:val="left" w:pos="0"/>
        </w:tabs>
        <w:spacing w:line="360" w:lineRule="auto"/>
        <w:rPr>
          <w:rFonts w:ascii="仿宋_GB2312" w:hAnsi="仿宋_GB2312" w:eastAsia="仿宋_GB2312" w:cs="仿宋_GB2312"/>
          <w:sz w:val="28"/>
          <w:szCs w:val="28"/>
          <w:highlight w:val="none"/>
        </w:rPr>
      </w:pPr>
    </w:p>
    <w:p w14:paraId="602265D9">
      <w:pPr>
        <w:tabs>
          <w:tab w:val="left" w:pos="0"/>
        </w:tabs>
        <w:spacing w:line="360" w:lineRule="auto"/>
        <w:jc w:val="left"/>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t xml:space="preserve">  </w:t>
      </w:r>
    </w:p>
    <w:p w14:paraId="145DEA40">
      <w:pPr>
        <w:tabs>
          <w:tab w:val="left" w:pos="0"/>
        </w:tabs>
        <w:spacing w:line="360" w:lineRule="auto"/>
        <w:jc w:val="left"/>
        <w:rPr>
          <w:rFonts w:ascii="宋体" w:hAnsi="宋体" w:cs="宋体"/>
          <w:sz w:val="28"/>
          <w:szCs w:val="28"/>
          <w:highlight w:val="none"/>
        </w:rPr>
      </w:pPr>
      <w:r>
        <w:rPr>
          <w:rFonts w:ascii="仿宋_GB2312" w:hAnsi="仿宋_GB2312" w:eastAsia="仿宋_GB2312" w:cs="仿宋_GB2312"/>
          <w:sz w:val="28"/>
          <w:szCs w:val="28"/>
          <w:highlight w:val="none"/>
        </w:rPr>
        <w:t xml:space="preserve"> </w:t>
      </w:r>
      <w:r>
        <w:rPr>
          <w:rFonts w:hint="eastAsia" w:ascii="宋体" w:hAnsi="宋体" w:cs="宋体"/>
          <w:sz w:val="28"/>
          <w:szCs w:val="28"/>
          <w:highlight w:val="none"/>
        </w:rPr>
        <w:t xml:space="preserve">   甲方经办人签名：                  乙方经办人签名：</w:t>
      </w:r>
    </w:p>
    <w:p w14:paraId="0A686409">
      <w:pPr>
        <w:spacing w:line="360" w:lineRule="auto"/>
        <w:ind w:firstLine="1820" w:firstLineChars="650"/>
        <w:rPr>
          <w:rFonts w:hint="eastAsia" w:ascii="宋体" w:hAnsi="宋体" w:cs="宋体"/>
          <w:sz w:val="28"/>
          <w:szCs w:val="28"/>
          <w:highlight w:val="none"/>
        </w:rPr>
      </w:pPr>
    </w:p>
    <w:p w14:paraId="4F755C71">
      <w:pPr>
        <w:spacing w:line="360" w:lineRule="auto"/>
        <w:ind w:firstLine="1820" w:firstLineChars="650"/>
        <w:rPr>
          <w:rFonts w:ascii="宋体" w:hAnsi="宋体" w:cs="宋体"/>
          <w:sz w:val="28"/>
          <w:szCs w:val="28"/>
          <w:highlight w:val="none"/>
        </w:rPr>
      </w:pPr>
      <w:r>
        <w:rPr>
          <w:rFonts w:hint="eastAsia" w:ascii="宋体" w:hAnsi="宋体" w:cs="宋体"/>
          <w:sz w:val="28"/>
          <w:szCs w:val="28"/>
          <w:highlight w:val="none"/>
        </w:rPr>
        <w:t>年   月   日                       年   月   日</w:t>
      </w:r>
    </w:p>
    <w:p w14:paraId="7DBABF11">
      <w:pPr>
        <w:pStyle w:val="3"/>
        <w:rPr>
          <w:rFonts w:ascii="宋体" w:hAnsi="宋体" w:cs="宋体"/>
          <w:sz w:val="28"/>
          <w:szCs w:val="28"/>
          <w:highlight w:val="none"/>
        </w:rPr>
      </w:pPr>
    </w:p>
    <w:sectPr>
      <w:footerReference r:id="rId3" w:type="default"/>
      <w:footerReference r:id="rId4" w:type="even"/>
      <w:pgSz w:w="11906" w:h="16838"/>
      <w:pgMar w:top="1440" w:right="1080" w:bottom="1440" w:left="1080" w:header="851" w:footer="851"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0902D">
    <w:pPr>
      <w:pStyle w:val="7"/>
      <w:jc w:val="right"/>
    </w:pPr>
    <w:r>
      <w:fldChar w:fldCharType="begin"/>
    </w:r>
    <w:r>
      <w:instrText xml:space="preserve"> PAGE   \* MERGEFORMAT </w:instrText>
    </w:r>
    <w:r>
      <w:fldChar w:fldCharType="separate"/>
    </w:r>
    <w:r>
      <w:rPr>
        <w:lang w:val="zh-CN"/>
      </w:rPr>
      <w:t>8</w:t>
    </w:r>
    <w:r>
      <w:fldChar w:fldCharType="end"/>
    </w:r>
  </w:p>
  <w:p w14:paraId="27FEA8E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E168B">
    <w:pPr>
      <w:pStyle w:val="7"/>
      <w:framePr w:wrap="around" w:vAnchor="text" w:hAnchor="margin" w:xAlign="outside" w:y="1"/>
      <w:rPr>
        <w:rStyle w:val="12"/>
      </w:rPr>
    </w:pPr>
    <w:r>
      <w:fldChar w:fldCharType="begin"/>
    </w:r>
    <w:r>
      <w:rPr>
        <w:rStyle w:val="12"/>
      </w:rPr>
      <w:instrText xml:space="preserve">PAGE  </w:instrText>
    </w:r>
    <w:r>
      <w:fldChar w:fldCharType="end"/>
    </w:r>
  </w:p>
  <w:p w14:paraId="1C9ED401">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B2711"/>
    <w:multiLevelType w:val="singleLevel"/>
    <w:tmpl w:val="143B271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200"/>
    <w:rsid w:val="000321BC"/>
    <w:rsid w:val="000354FE"/>
    <w:rsid w:val="0004371A"/>
    <w:rsid w:val="00043AC4"/>
    <w:rsid w:val="00056578"/>
    <w:rsid w:val="000602E3"/>
    <w:rsid w:val="00082142"/>
    <w:rsid w:val="000F43DB"/>
    <w:rsid w:val="00110B40"/>
    <w:rsid w:val="00135384"/>
    <w:rsid w:val="001C2530"/>
    <w:rsid w:val="001C6E97"/>
    <w:rsid w:val="001E4413"/>
    <w:rsid w:val="001F4369"/>
    <w:rsid w:val="001F6D92"/>
    <w:rsid w:val="002320CB"/>
    <w:rsid w:val="00240551"/>
    <w:rsid w:val="00280A13"/>
    <w:rsid w:val="002B0269"/>
    <w:rsid w:val="002D051C"/>
    <w:rsid w:val="002D3CC5"/>
    <w:rsid w:val="002F3439"/>
    <w:rsid w:val="00320BDD"/>
    <w:rsid w:val="00324B2D"/>
    <w:rsid w:val="00333086"/>
    <w:rsid w:val="00356D22"/>
    <w:rsid w:val="003C5BAE"/>
    <w:rsid w:val="003E7B68"/>
    <w:rsid w:val="003F25C6"/>
    <w:rsid w:val="004352DE"/>
    <w:rsid w:val="004527D7"/>
    <w:rsid w:val="00463F07"/>
    <w:rsid w:val="004B613F"/>
    <w:rsid w:val="004E5EA8"/>
    <w:rsid w:val="005105E6"/>
    <w:rsid w:val="0052009D"/>
    <w:rsid w:val="0053460E"/>
    <w:rsid w:val="00560A4D"/>
    <w:rsid w:val="00575232"/>
    <w:rsid w:val="005952DF"/>
    <w:rsid w:val="005A4787"/>
    <w:rsid w:val="005E21BD"/>
    <w:rsid w:val="00611D54"/>
    <w:rsid w:val="00633716"/>
    <w:rsid w:val="00646D55"/>
    <w:rsid w:val="0066512F"/>
    <w:rsid w:val="00666A48"/>
    <w:rsid w:val="00680F08"/>
    <w:rsid w:val="006B7523"/>
    <w:rsid w:val="006E18EF"/>
    <w:rsid w:val="006E7C93"/>
    <w:rsid w:val="00741700"/>
    <w:rsid w:val="007431D5"/>
    <w:rsid w:val="00761A8D"/>
    <w:rsid w:val="00776C78"/>
    <w:rsid w:val="00780193"/>
    <w:rsid w:val="00791200"/>
    <w:rsid w:val="007B0CA5"/>
    <w:rsid w:val="007B3F86"/>
    <w:rsid w:val="007D701A"/>
    <w:rsid w:val="007F1DFD"/>
    <w:rsid w:val="007F7A12"/>
    <w:rsid w:val="00802316"/>
    <w:rsid w:val="00826B3B"/>
    <w:rsid w:val="00866F8B"/>
    <w:rsid w:val="008D31E0"/>
    <w:rsid w:val="009444C7"/>
    <w:rsid w:val="009721BE"/>
    <w:rsid w:val="00981F80"/>
    <w:rsid w:val="009D4284"/>
    <w:rsid w:val="009E4AB7"/>
    <w:rsid w:val="00A617CC"/>
    <w:rsid w:val="00A73119"/>
    <w:rsid w:val="00AC2317"/>
    <w:rsid w:val="00AD04B2"/>
    <w:rsid w:val="00AE3B34"/>
    <w:rsid w:val="00AE722E"/>
    <w:rsid w:val="00B10BEC"/>
    <w:rsid w:val="00B17446"/>
    <w:rsid w:val="00B70E52"/>
    <w:rsid w:val="00BA17F7"/>
    <w:rsid w:val="00BA58BD"/>
    <w:rsid w:val="00BB2FEE"/>
    <w:rsid w:val="00BC0CC0"/>
    <w:rsid w:val="00BD71E5"/>
    <w:rsid w:val="00BF5AC0"/>
    <w:rsid w:val="00C11C23"/>
    <w:rsid w:val="00C51F8A"/>
    <w:rsid w:val="00C53560"/>
    <w:rsid w:val="00C80C21"/>
    <w:rsid w:val="00CE2B15"/>
    <w:rsid w:val="00D653AB"/>
    <w:rsid w:val="00DB6592"/>
    <w:rsid w:val="00E05D7F"/>
    <w:rsid w:val="00E561AD"/>
    <w:rsid w:val="00EA765B"/>
    <w:rsid w:val="00F103A5"/>
    <w:rsid w:val="00F11956"/>
    <w:rsid w:val="00F24819"/>
    <w:rsid w:val="00F6516E"/>
    <w:rsid w:val="00F83DB1"/>
    <w:rsid w:val="00F91501"/>
    <w:rsid w:val="00FB5062"/>
    <w:rsid w:val="00FD107D"/>
    <w:rsid w:val="0F5F09C4"/>
    <w:rsid w:val="1F665CA1"/>
    <w:rsid w:val="25A046D9"/>
    <w:rsid w:val="35FFDC64"/>
    <w:rsid w:val="3BEF13E3"/>
    <w:rsid w:val="3C05579F"/>
    <w:rsid w:val="3E6972A8"/>
    <w:rsid w:val="44EE57B8"/>
    <w:rsid w:val="4A8259A5"/>
    <w:rsid w:val="55EB46D9"/>
    <w:rsid w:val="5BDF20B2"/>
    <w:rsid w:val="5FFF252B"/>
    <w:rsid w:val="6BFB78AD"/>
    <w:rsid w:val="7FBF9778"/>
    <w:rsid w:val="7FDD1B09"/>
    <w:rsid w:val="7FEB2FD2"/>
    <w:rsid w:val="95BB932A"/>
    <w:rsid w:val="AADA0697"/>
    <w:rsid w:val="B493A48E"/>
    <w:rsid w:val="D5DF39F3"/>
    <w:rsid w:val="EBFF3D40"/>
    <w:rsid w:val="FDBFFCC9"/>
    <w:rsid w:val="FF7F7B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qFormat/>
    <w:uiPriority w:val="0"/>
    <w:pPr>
      <w:keepNext/>
      <w:adjustRightInd w:val="0"/>
      <w:snapToGrid w:val="0"/>
      <w:spacing w:before="120" w:after="120" w:line="360" w:lineRule="auto"/>
      <w:jc w:val="center"/>
      <w:textAlignment w:val="baseline"/>
      <w:outlineLvl w:val="1"/>
    </w:pPr>
    <w:rPr>
      <w:rFonts w:ascii="仿宋_GB2312" w:eastAsia="仿宋_GB2312"/>
      <w:b/>
      <w:kern w:val="0"/>
      <w:sz w:val="36"/>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5">
    <w:name w:val="Body Text Indent"/>
    <w:basedOn w:val="1"/>
    <w:link w:val="13"/>
    <w:qFormat/>
    <w:uiPriority w:val="0"/>
    <w:pPr>
      <w:spacing w:line="200" w:lineRule="exact"/>
      <w:ind w:firstLine="301"/>
    </w:pPr>
    <w:rPr>
      <w:rFonts w:ascii="宋体" w:hAnsi="Courier New"/>
      <w:spacing w:val="-4"/>
      <w:sz w:val="18"/>
      <w:szCs w:val="20"/>
    </w:rPr>
  </w:style>
  <w:style w:type="paragraph" w:styleId="6">
    <w:name w:val="Balloon Text"/>
    <w:basedOn w:val="1"/>
    <w:link w:val="17"/>
    <w:semiHidden/>
    <w:unhideWhenUsed/>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rFonts w:eastAsia="黑体"/>
      <w:snapToGrid w:val="0"/>
      <w:kern w:val="0"/>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link w:val="20"/>
    <w:semiHidden/>
    <w:unhideWhenUsed/>
    <w:qFormat/>
    <w:uiPriority w:val="99"/>
    <w:pPr>
      <w:spacing w:after="120" w:line="240" w:lineRule="auto"/>
      <w:ind w:left="420" w:leftChars="200" w:firstLine="420" w:firstLineChars="200"/>
    </w:pPr>
    <w:rPr>
      <w:rFonts w:asciiTheme="minorHAnsi" w:hAnsiTheme="minorHAnsi" w:eastAsiaTheme="minorEastAsia" w:cstheme="minorBidi"/>
      <w:spacing w:val="0"/>
      <w:sz w:val="21"/>
      <w:szCs w:val="22"/>
    </w:rPr>
  </w:style>
  <w:style w:type="character" w:styleId="12">
    <w:name w:val="page number"/>
    <w:basedOn w:val="11"/>
    <w:qFormat/>
    <w:uiPriority w:val="0"/>
  </w:style>
  <w:style w:type="character" w:customStyle="1" w:styleId="13">
    <w:name w:val="正文文本缩进 Char"/>
    <w:basedOn w:val="11"/>
    <w:link w:val="5"/>
    <w:qFormat/>
    <w:uiPriority w:val="0"/>
    <w:rPr>
      <w:rFonts w:ascii="宋体" w:hAnsi="Courier New" w:eastAsia="宋体" w:cs="Times New Roman"/>
      <w:spacing w:val="-4"/>
      <w:sz w:val="18"/>
      <w:szCs w:val="20"/>
    </w:rPr>
  </w:style>
  <w:style w:type="character" w:customStyle="1" w:styleId="14">
    <w:name w:val="页脚 Char"/>
    <w:basedOn w:val="11"/>
    <w:link w:val="7"/>
    <w:qFormat/>
    <w:uiPriority w:val="99"/>
    <w:rPr>
      <w:rFonts w:ascii="Times New Roman" w:hAnsi="Times New Roman" w:eastAsia="黑体" w:cs="Times New Roman"/>
      <w:snapToGrid w:val="0"/>
      <w:kern w:val="0"/>
      <w:sz w:val="18"/>
      <w:szCs w:val="18"/>
    </w:rPr>
  </w:style>
  <w:style w:type="character" w:customStyle="1" w:styleId="15">
    <w:name w:val="页眉 Char"/>
    <w:basedOn w:val="11"/>
    <w:link w:val="8"/>
    <w:semiHidden/>
    <w:qFormat/>
    <w:uiPriority w:val="99"/>
    <w:rPr>
      <w:rFonts w:ascii="Times New Roman" w:hAnsi="Times New Roman" w:eastAsia="宋体" w:cs="Times New Roman"/>
      <w:sz w:val="18"/>
      <w:szCs w:val="18"/>
    </w:rPr>
  </w:style>
  <w:style w:type="character" w:customStyle="1" w:styleId="16">
    <w:name w:val="标题 2 Char"/>
    <w:basedOn w:val="11"/>
    <w:link w:val="4"/>
    <w:qFormat/>
    <w:uiPriority w:val="0"/>
    <w:rPr>
      <w:rFonts w:ascii="仿宋_GB2312" w:hAnsi="Times New Roman" w:eastAsia="仿宋_GB2312" w:cs="Times New Roman"/>
      <w:b/>
      <w:kern w:val="0"/>
      <w:sz w:val="36"/>
      <w:szCs w:val="20"/>
    </w:rPr>
  </w:style>
  <w:style w:type="character" w:customStyle="1" w:styleId="17">
    <w:name w:val="批注框文本 Char"/>
    <w:basedOn w:val="11"/>
    <w:link w:val="6"/>
    <w:semiHidden/>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paragraph" w:customStyle="1" w:styleId="19">
    <w:name w:val="Body text|1"/>
    <w:basedOn w:val="1"/>
    <w:qFormat/>
    <w:uiPriority w:val="0"/>
    <w:pPr>
      <w:spacing w:line="442" w:lineRule="auto"/>
      <w:ind w:firstLine="400"/>
    </w:pPr>
    <w:rPr>
      <w:rFonts w:ascii="宋体" w:hAnsi="宋体" w:cs="宋体"/>
      <w:sz w:val="22"/>
      <w:szCs w:val="22"/>
      <w:lang w:val="zh-TW" w:eastAsia="zh-TW" w:bidi="zh-TW"/>
    </w:rPr>
  </w:style>
  <w:style w:type="character" w:customStyle="1" w:styleId="20">
    <w:name w:val="正文首行缩进 2 Char"/>
    <w:basedOn w:val="13"/>
    <w:link w:val="9"/>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微软公司</Company>
  <Pages>13</Pages>
  <Words>7493</Words>
  <Characters>7607</Characters>
  <Lines>67</Lines>
  <Paragraphs>19</Paragraphs>
  <TotalTime>40</TotalTime>
  <ScaleCrop>false</ScaleCrop>
  <LinksUpToDate>false</LinksUpToDate>
  <CharactersWithSpaces>8296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2023-03-20T02:40:00Z</dcterms:created>
  <dc:creator>微软用户</dc:creator>
  <cp:lastModifiedBy>郑羽丹</cp:lastModifiedBy>
  <cp:lastPrinted>2019-04-22T18:57:00Z</cp:lastPrinted>
  <dcterms:modified xsi:type="dcterms:W3CDTF">2026-04-10T03:10:24Z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eyJoZGlkIjoiODgyZTQ0ZmY2YzJhODJkZjc1ZjZhNTNiMWIzNmRlMGQiLCJ1c2VySWQiOiI2NDIzOTg4MDUifQ==</vt:lpwstr>
  </property>
  <property fmtid="{D5CDD505-2E9C-101B-9397-08002B2CF9AE}" pid="4" name="ICV">
    <vt:lpwstr>37AD3F5899B240EC947CA87BEE8C54C0_13</vt:lpwstr>
  </property>
</Properties>
</file>